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548"/>
        <w:gridCol w:w="1916"/>
        <w:gridCol w:w="4911"/>
        <w:gridCol w:w="4782"/>
        <w:gridCol w:w="1459"/>
      </w:tblGrid>
      <w:tr w:rsidR="00ED70BD" w:rsidRPr="00ED70BD" w14:paraId="06C65A80"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hideMark/>
          </w:tcPr>
          <w:p w14:paraId="1DF2CD9A" w14:textId="5EBFA1FA" w:rsidR="00ED70BD" w:rsidRPr="00ED70BD" w:rsidRDefault="00ED70BD" w:rsidP="00ED70BD">
            <w:pPr>
              <w:spacing w:after="0" w:line="240" w:lineRule="auto"/>
              <w:jc w:val="center"/>
              <w:rPr>
                <w:rFonts w:ascii="Times New Roman" w:eastAsia="Times New Roman" w:hAnsi="Times New Roman" w:cs="Times New Roman"/>
                <w:b/>
                <w:bCs/>
                <w:color w:val="000000"/>
                <w:kern w:val="0"/>
                <w:sz w:val="28"/>
                <w:szCs w:val="28"/>
                <w14:ligatures w14:val="none"/>
              </w:rPr>
            </w:pPr>
            <w:r w:rsidRPr="00ED70BD">
              <w:rPr>
                <w:rFonts w:ascii="Times New Roman" w:eastAsia="Times New Roman" w:hAnsi="Times New Roman" w:cs="Times New Roman"/>
                <w:b/>
                <w:bCs/>
                <w:color w:val="000000"/>
                <w:kern w:val="0"/>
                <w:sz w:val="28"/>
                <w:szCs w:val="28"/>
                <w14:ligatures w14:val="none"/>
              </w:rPr>
              <w:t>Homeland Security Grant-</w:t>
            </w:r>
            <w:r w:rsidRPr="00ED70BD">
              <w:rPr>
                <w:rFonts w:ascii="Times New Roman" w:eastAsia="Times New Roman" w:hAnsi="Times New Roman" w:cs="Times New Roman"/>
                <w:b/>
                <w:bCs/>
                <w:color w:val="000000"/>
                <w:kern w:val="0"/>
                <w:sz w:val="28"/>
                <w:szCs w:val="28"/>
                <w14:ligatures w14:val="none"/>
              </w:rPr>
              <w:t>Non-Profit</w:t>
            </w:r>
            <w:r w:rsidRPr="00ED70BD">
              <w:rPr>
                <w:rFonts w:ascii="Times New Roman" w:eastAsia="Times New Roman" w:hAnsi="Times New Roman" w:cs="Times New Roman"/>
                <w:b/>
                <w:bCs/>
                <w:color w:val="000000"/>
                <w:kern w:val="0"/>
                <w:sz w:val="28"/>
                <w:szCs w:val="28"/>
                <w14:ligatures w14:val="none"/>
              </w:rPr>
              <w:t xml:space="preserve"> Equipment/Inventory</w:t>
            </w:r>
          </w:p>
        </w:tc>
      </w:tr>
      <w:tr w:rsidR="00ED70BD" w:rsidRPr="00ED70BD" w14:paraId="1958CFA0"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hideMark/>
          </w:tcPr>
          <w:p w14:paraId="028A93E8"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sz w:val="24"/>
                <w:szCs w:val="24"/>
                <w14:ligatures w14:val="none"/>
              </w:rPr>
            </w:pPr>
            <w:r w:rsidRPr="00ED70BD">
              <w:rPr>
                <w:rFonts w:ascii="Times New Roman" w:eastAsia="Times New Roman" w:hAnsi="Times New Roman" w:cs="Times New Roman"/>
                <w:b/>
                <w:bCs/>
                <w:color w:val="000000"/>
                <w:kern w:val="0"/>
                <w:sz w:val="24"/>
                <w:szCs w:val="24"/>
                <w14:ligatures w14:val="none"/>
              </w:rPr>
              <w:t xml:space="preserve">AEL List/Description and Useful Life </w:t>
            </w:r>
          </w:p>
        </w:tc>
      </w:tr>
      <w:tr w:rsidR="00ED70BD" w:rsidRPr="00ED70BD" w14:paraId="523F3648"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hideMark/>
          </w:tcPr>
          <w:p w14:paraId="7F21E445" w14:textId="4CB75326" w:rsidR="00ED70BD" w:rsidRPr="00ED70BD" w:rsidRDefault="00ED70BD" w:rsidP="00ED70BD">
            <w:pPr>
              <w:spacing w:after="0" w:line="240" w:lineRule="auto"/>
              <w:jc w:val="center"/>
              <w:rPr>
                <w:rFonts w:ascii="Times New Roman" w:eastAsia="Times New Roman" w:hAnsi="Times New Roman" w:cs="Times New Roman"/>
                <w:b/>
                <w:bCs/>
                <w:color w:val="000000"/>
                <w:kern w:val="0"/>
                <w:sz w:val="24"/>
                <w:szCs w:val="24"/>
                <w14:ligatures w14:val="none"/>
              </w:rPr>
            </w:pPr>
            <w:r w:rsidRPr="00ED70BD">
              <w:rPr>
                <w:rFonts w:ascii="Times New Roman" w:eastAsia="Times New Roman" w:hAnsi="Times New Roman" w:cs="Times New Roman"/>
                <w:b/>
                <w:bCs/>
                <w:color w:val="000000"/>
                <w:kern w:val="0"/>
                <w:sz w:val="24"/>
                <w:szCs w:val="24"/>
                <w14:ligatures w14:val="none"/>
              </w:rPr>
              <w:t xml:space="preserve">Below is a </w:t>
            </w:r>
            <w:proofErr w:type="gramStart"/>
            <w:r w:rsidRPr="00ED70BD">
              <w:rPr>
                <w:rFonts w:ascii="Times New Roman" w:eastAsia="Times New Roman" w:hAnsi="Times New Roman" w:cs="Times New Roman"/>
                <w:b/>
                <w:bCs/>
                <w:color w:val="000000"/>
                <w:kern w:val="0"/>
                <w:sz w:val="24"/>
                <w:szCs w:val="24"/>
                <w14:ligatures w14:val="none"/>
              </w:rPr>
              <w:t>listing</w:t>
            </w:r>
            <w:proofErr w:type="gramEnd"/>
            <w:r w:rsidRPr="00ED70BD">
              <w:rPr>
                <w:rFonts w:ascii="Times New Roman" w:eastAsia="Times New Roman" w:hAnsi="Times New Roman" w:cs="Times New Roman"/>
                <w:b/>
                <w:bCs/>
                <w:color w:val="000000"/>
                <w:kern w:val="0"/>
                <w:sz w:val="24"/>
                <w:szCs w:val="24"/>
                <w14:ligatures w14:val="none"/>
              </w:rPr>
              <w:t xml:space="preserve"> </w:t>
            </w:r>
            <w:r w:rsidRPr="00ED70BD">
              <w:rPr>
                <w:rFonts w:ascii="Times New Roman" w:eastAsia="Times New Roman" w:hAnsi="Times New Roman" w:cs="Times New Roman"/>
                <w:b/>
                <w:bCs/>
                <w:color w:val="000000"/>
                <w:kern w:val="0"/>
                <w:sz w:val="24"/>
                <w:szCs w:val="24"/>
                <w14:ligatures w14:val="none"/>
              </w:rPr>
              <w:t>of</w:t>
            </w:r>
            <w:r w:rsidRPr="00ED70BD">
              <w:rPr>
                <w:rFonts w:ascii="Times New Roman" w:eastAsia="Times New Roman" w:hAnsi="Times New Roman" w:cs="Times New Roman"/>
                <w:b/>
                <w:bCs/>
                <w:color w:val="000000"/>
                <w:kern w:val="0"/>
                <w:sz w:val="24"/>
                <w:szCs w:val="24"/>
                <w14:ligatures w14:val="none"/>
              </w:rPr>
              <w:t xml:space="preserve"> commonly requested equipment items that may be eligible for award with Homeland Security Non-Profit Funds. This list is not exhaustive of the FEMA AEL List for items. </w:t>
            </w:r>
          </w:p>
        </w:tc>
      </w:tr>
      <w:tr w:rsidR="00ED70BD" w:rsidRPr="00ED70BD" w14:paraId="3DDE15AC"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5E1254E0"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004F04B9"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7274DD88"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0863B0A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737DD840"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r>
      <w:tr w:rsidR="00ED70BD" w:rsidRPr="00ED70BD" w14:paraId="66FD679E"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0BF23C3B"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Operational Equipment: </w:t>
            </w:r>
          </w:p>
        </w:tc>
      </w:tr>
      <w:tr w:rsidR="00ED70BD" w:rsidRPr="00ED70BD" w14:paraId="30150C6F"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227CFD7B"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Not Applicable for all FEMA Programs. All Items must be approved by the MOHS and listed within the Authorized Equipment List. https://www.fema.gov/grants/tools/authorized-equipment-list#browse</w:t>
            </w:r>
          </w:p>
        </w:tc>
      </w:tr>
      <w:tr w:rsidR="00ED70BD" w:rsidRPr="00ED70BD" w14:paraId="1BA031E1"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328AD35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12DB9D36"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0E2ACEDA"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1B4E3772"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22B1D760"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r>
      <w:tr w:rsidR="00ED70BD" w:rsidRPr="00ED70BD" w14:paraId="3FE4521F" w14:textId="77777777" w:rsidTr="00ED70BD">
        <w:trPr>
          <w:trHeight w:val="255"/>
        </w:trPr>
        <w:tc>
          <w:tcPr>
            <w:tcW w:w="530" w:type="pct"/>
            <w:tcBorders>
              <w:top w:val="nil"/>
              <w:left w:val="single" w:sz="4" w:space="0" w:color="auto"/>
              <w:bottom w:val="single" w:sz="4" w:space="0" w:color="auto"/>
              <w:right w:val="single" w:sz="4" w:space="0" w:color="auto"/>
            </w:tcBorders>
            <w:shd w:val="clear" w:color="000000" w:fill="FFFFFF"/>
            <w:vAlign w:val="bottom"/>
            <w:hideMark/>
          </w:tcPr>
          <w:p w14:paraId="6BA63A76"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vAlign w:val="bottom"/>
            <w:hideMark/>
          </w:tcPr>
          <w:p w14:paraId="631DA3C5"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vAlign w:val="bottom"/>
            <w:hideMark/>
          </w:tcPr>
          <w:p w14:paraId="0320B3C8"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189DB2C3"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74DF91AB"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33EDBC09"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352F32A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030E-03-MEGA</w:t>
            </w:r>
          </w:p>
        </w:tc>
        <w:tc>
          <w:tcPr>
            <w:tcW w:w="655" w:type="pct"/>
            <w:tcBorders>
              <w:top w:val="nil"/>
              <w:left w:val="nil"/>
              <w:bottom w:val="single" w:sz="4" w:space="0" w:color="auto"/>
              <w:right w:val="single" w:sz="4" w:space="0" w:color="auto"/>
            </w:tcBorders>
            <w:hideMark/>
          </w:tcPr>
          <w:p w14:paraId="6EB5E2E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Public Address, Handheld or Mobile</w:t>
            </w:r>
          </w:p>
        </w:tc>
        <w:tc>
          <w:tcPr>
            <w:tcW w:w="1680" w:type="pct"/>
            <w:tcBorders>
              <w:top w:val="nil"/>
              <w:left w:val="nil"/>
              <w:bottom w:val="single" w:sz="4" w:space="0" w:color="auto"/>
              <w:right w:val="single" w:sz="4" w:space="0" w:color="auto"/>
            </w:tcBorders>
            <w:hideMark/>
          </w:tcPr>
          <w:p w14:paraId="52CF0D17"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Systems for mass audio notification, including vehicle-mounted high powered speaker systems, or battery powered megaphone / public address systems with corded microphone. </w:t>
            </w:r>
          </w:p>
        </w:tc>
        <w:tc>
          <w:tcPr>
            <w:tcW w:w="1636" w:type="pct"/>
            <w:tcBorders>
              <w:top w:val="nil"/>
              <w:left w:val="nil"/>
              <w:bottom w:val="single" w:sz="4" w:space="0" w:color="auto"/>
              <w:right w:val="single" w:sz="4" w:space="0" w:color="auto"/>
            </w:tcBorders>
            <w:hideMark/>
          </w:tcPr>
          <w:p w14:paraId="6C35FC5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Useful for crowd control or briefing incident personnel. Microphones; amplifiers; loudspeakers and related equipment. </w:t>
            </w:r>
          </w:p>
        </w:tc>
        <w:tc>
          <w:tcPr>
            <w:tcW w:w="499" w:type="pct"/>
            <w:tcBorders>
              <w:top w:val="nil"/>
              <w:left w:val="nil"/>
              <w:bottom w:val="single" w:sz="4" w:space="0" w:color="auto"/>
              <w:right w:val="single" w:sz="4" w:space="0" w:color="auto"/>
            </w:tcBorders>
            <w:hideMark/>
          </w:tcPr>
          <w:p w14:paraId="6E1EF01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8 Years</w:t>
            </w:r>
          </w:p>
        </w:tc>
      </w:tr>
      <w:tr w:rsidR="00ED70BD" w:rsidRPr="00ED70BD" w14:paraId="7A5C9E17"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42536DB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03OE-03-SIGN</w:t>
            </w:r>
          </w:p>
        </w:tc>
        <w:tc>
          <w:tcPr>
            <w:tcW w:w="655" w:type="pct"/>
            <w:tcBorders>
              <w:top w:val="nil"/>
              <w:left w:val="nil"/>
              <w:bottom w:val="single" w:sz="4" w:space="0" w:color="auto"/>
              <w:right w:val="single" w:sz="4" w:space="0" w:color="auto"/>
            </w:tcBorders>
            <w:hideMark/>
          </w:tcPr>
          <w:p w14:paraId="15A544D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Signs</w:t>
            </w:r>
          </w:p>
        </w:tc>
        <w:tc>
          <w:tcPr>
            <w:tcW w:w="1680" w:type="pct"/>
            <w:tcBorders>
              <w:top w:val="nil"/>
              <w:left w:val="nil"/>
              <w:bottom w:val="single" w:sz="4" w:space="0" w:color="auto"/>
              <w:right w:val="single" w:sz="4" w:space="0" w:color="auto"/>
            </w:tcBorders>
            <w:hideMark/>
          </w:tcPr>
          <w:p w14:paraId="004F0F3B" w14:textId="7154E16D"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Restricted access and caution warning signs</w:t>
            </w:r>
            <w:r w:rsidRPr="00ED70BD">
              <w:rPr>
                <w:rFonts w:ascii="Times New Roman" w:eastAsia="Times New Roman" w:hAnsi="Times New Roman" w:cs="Times New Roman"/>
                <w:color w:val="000000"/>
                <w:kern w:val="0"/>
                <w:sz w:val="20"/>
                <w:szCs w:val="20"/>
                <w14:ligatures w14:val="none"/>
              </w:rPr>
              <w:t xml:space="preserve"> preprinted or field printable, various colors, sizes, and shapes. Includes traffic cones and other free-standing signage, as well as mountable items.  Includes signs and devices for individuals with disabilities and others with access and functional needs, such as programmable audible caution cones and scrolling marquis signs.</w:t>
            </w:r>
          </w:p>
        </w:tc>
        <w:tc>
          <w:tcPr>
            <w:tcW w:w="1636" w:type="pct"/>
            <w:tcBorders>
              <w:top w:val="nil"/>
              <w:left w:val="nil"/>
              <w:bottom w:val="single" w:sz="4" w:space="0" w:color="auto"/>
              <w:right w:val="single" w:sz="4" w:space="0" w:color="auto"/>
            </w:tcBorders>
            <w:hideMark/>
          </w:tcPr>
          <w:p w14:paraId="7407E81A"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hideMark/>
          </w:tcPr>
          <w:p w14:paraId="6E602AF3"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10 Years</w:t>
            </w:r>
          </w:p>
        </w:tc>
      </w:tr>
      <w:tr w:rsidR="00ED70BD" w:rsidRPr="00ED70BD" w14:paraId="0A61E3E2"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4E29D54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35E73D6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032AD4D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1D33CF5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67A6F06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2E87161C"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6870129E"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Information Technology</w:t>
            </w:r>
          </w:p>
        </w:tc>
      </w:tr>
      <w:tr w:rsidR="00ED70BD" w:rsidRPr="00ED70BD" w14:paraId="22FF01AA" w14:textId="77777777" w:rsidTr="00ED70B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0F67FA6E"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217F9B7C"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2BEF96F9"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72A7DD41"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377CB366"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45FB113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4BD15269"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38536CA6"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737BE25C"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42D3D2EC" w14:textId="77777777" w:rsidTr="00ED70BD">
        <w:trPr>
          <w:trHeight w:val="1412"/>
        </w:trPr>
        <w:tc>
          <w:tcPr>
            <w:tcW w:w="530" w:type="pct"/>
            <w:tcBorders>
              <w:top w:val="nil"/>
              <w:left w:val="single" w:sz="4" w:space="0" w:color="auto"/>
              <w:bottom w:val="single" w:sz="4" w:space="0" w:color="auto"/>
              <w:right w:val="single" w:sz="4" w:space="0" w:color="auto"/>
            </w:tcBorders>
            <w:hideMark/>
          </w:tcPr>
          <w:p w14:paraId="2CDFEDF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04AP-05-CRED</w:t>
            </w:r>
          </w:p>
        </w:tc>
        <w:tc>
          <w:tcPr>
            <w:tcW w:w="655" w:type="pct"/>
            <w:tcBorders>
              <w:top w:val="nil"/>
              <w:left w:val="nil"/>
              <w:bottom w:val="single" w:sz="4" w:space="0" w:color="auto"/>
              <w:right w:val="single" w:sz="4" w:space="0" w:color="auto"/>
            </w:tcBorders>
            <w:hideMark/>
          </w:tcPr>
          <w:p w14:paraId="25B7FC9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Credentialing</w:t>
            </w:r>
          </w:p>
        </w:tc>
        <w:tc>
          <w:tcPr>
            <w:tcW w:w="1680" w:type="pct"/>
            <w:tcBorders>
              <w:top w:val="nil"/>
              <w:left w:val="nil"/>
              <w:bottom w:val="single" w:sz="4" w:space="0" w:color="auto"/>
              <w:right w:val="single" w:sz="4" w:space="0" w:color="auto"/>
            </w:tcBorders>
            <w:hideMark/>
          </w:tcPr>
          <w:p w14:paraId="1E62C02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Software application and associated hardware and material for creating site/event credential badges and controlling scene access. Although some hardware would still be required, this functionality may also be obtainable via subscription as a cloud-based service, as opposed to purchasing software.  However, special security considerations apply for data stored remotely.  See 04AP-11-SAAS for further information.</w:t>
            </w:r>
          </w:p>
        </w:tc>
        <w:tc>
          <w:tcPr>
            <w:tcW w:w="1636" w:type="pct"/>
            <w:tcBorders>
              <w:top w:val="nil"/>
              <w:left w:val="nil"/>
              <w:bottom w:val="single" w:sz="4" w:space="0" w:color="auto"/>
              <w:right w:val="single" w:sz="4" w:space="0" w:color="auto"/>
            </w:tcBorders>
            <w:hideMark/>
          </w:tcPr>
          <w:p w14:paraId="4D720C41"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Software and system to produce credentialing, name tags, badges. </w:t>
            </w:r>
          </w:p>
        </w:tc>
        <w:tc>
          <w:tcPr>
            <w:tcW w:w="499" w:type="pct"/>
            <w:tcBorders>
              <w:top w:val="nil"/>
              <w:left w:val="nil"/>
              <w:bottom w:val="single" w:sz="4" w:space="0" w:color="auto"/>
              <w:right w:val="single" w:sz="4" w:space="0" w:color="auto"/>
            </w:tcBorders>
            <w:hideMark/>
          </w:tcPr>
          <w:p w14:paraId="2B4CF80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 Years</w:t>
            </w:r>
          </w:p>
        </w:tc>
      </w:tr>
      <w:tr w:rsidR="00ED70BD" w:rsidRPr="00ED70BD" w14:paraId="571D263B" w14:textId="77777777" w:rsidTr="00ED70BD">
        <w:trPr>
          <w:trHeight w:val="1340"/>
        </w:trPr>
        <w:tc>
          <w:tcPr>
            <w:tcW w:w="530" w:type="pct"/>
            <w:tcBorders>
              <w:top w:val="nil"/>
              <w:left w:val="single" w:sz="4" w:space="0" w:color="auto"/>
              <w:bottom w:val="single" w:sz="4" w:space="0" w:color="auto"/>
              <w:right w:val="single" w:sz="4" w:space="0" w:color="auto"/>
            </w:tcBorders>
            <w:hideMark/>
          </w:tcPr>
          <w:p w14:paraId="534F924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04AP-06-VIDA</w:t>
            </w:r>
          </w:p>
        </w:tc>
        <w:tc>
          <w:tcPr>
            <w:tcW w:w="655" w:type="pct"/>
            <w:tcBorders>
              <w:top w:val="nil"/>
              <w:left w:val="nil"/>
              <w:bottom w:val="single" w:sz="4" w:space="0" w:color="auto"/>
              <w:right w:val="single" w:sz="4" w:space="0" w:color="auto"/>
            </w:tcBorders>
            <w:hideMark/>
          </w:tcPr>
          <w:p w14:paraId="2EABB93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Software, Video</w:t>
            </w:r>
            <w:r w:rsidRPr="00ED70BD">
              <w:rPr>
                <w:rFonts w:ascii="Times New Roman" w:eastAsia="Times New Roman" w:hAnsi="Times New Roman" w:cs="Times New Roman"/>
                <w:color w:val="000000"/>
                <w:kern w:val="0"/>
                <w:sz w:val="20"/>
                <w:szCs w:val="20"/>
                <w14:ligatures w14:val="none"/>
              </w:rPr>
              <w:br w:type="page"/>
              <w:t>Analytics</w:t>
            </w:r>
          </w:p>
        </w:tc>
        <w:tc>
          <w:tcPr>
            <w:tcW w:w="1680" w:type="pct"/>
            <w:tcBorders>
              <w:top w:val="nil"/>
              <w:left w:val="nil"/>
              <w:bottom w:val="single" w:sz="4" w:space="0" w:color="auto"/>
              <w:right w:val="single" w:sz="4" w:space="0" w:color="auto"/>
            </w:tcBorders>
            <w:hideMark/>
          </w:tcPr>
          <w:p w14:paraId="0CEE0DE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Software, either local or cloud-based, that analyzes video input to detect/determine temporal and </w:t>
            </w:r>
            <w:proofErr w:type="spellStart"/>
            <w:r w:rsidRPr="00ED70BD">
              <w:rPr>
                <w:rFonts w:ascii="Times New Roman" w:eastAsia="Times New Roman" w:hAnsi="Times New Roman" w:cs="Times New Roman"/>
                <w:color w:val="000000"/>
                <w:kern w:val="0"/>
                <w:sz w:val="20"/>
                <w:szCs w:val="20"/>
                <w14:ligatures w14:val="none"/>
              </w:rPr>
              <w:t>spacial</w:t>
            </w:r>
            <w:proofErr w:type="spellEnd"/>
            <w:r w:rsidRPr="00ED70BD">
              <w:rPr>
                <w:rFonts w:ascii="Times New Roman" w:eastAsia="Times New Roman" w:hAnsi="Times New Roman" w:cs="Times New Roman"/>
                <w:color w:val="000000"/>
                <w:kern w:val="0"/>
                <w:sz w:val="20"/>
                <w:szCs w:val="20"/>
                <w14:ligatures w14:val="none"/>
              </w:rPr>
              <w:t xml:space="preserve"> events, either in real time or using archival video. Analytical priorities might include recognition (e.g., facial or license plate recognition) or patterns (movement or arrangement or persons, vehicles, or other objects). See 04MD-01-VCAM and 13LE-00-SURV for examples of input devices.</w:t>
            </w:r>
          </w:p>
        </w:tc>
        <w:tc>
          <w:tcPr>
            <w:tcW w:w="1636" w:type="pct"/>
            <w:tcBorders>
              <w:top w:val="nil"/>
              <w:left w:val="nil"/>
              <w:bottom w:val="single" w:sz="4" w:space="0" w:color="auto"/>
              <w:right w:val="single" w:sz="4" w:space="0" w:color="auto"/>
            </w:tcBorders>
            <w:hideMark/>
          </w:tcPr>
          <w:p w14:paraId="239878B1"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For the Nonprofit Security Grant Program, license plate reader and facial recognition software are not allowed, but software to detect weapons through video analysis is allowed.</w:t>
            </w:r>
          </w:p>
        </w:tc>
        <w:tc>
          <w:tcPr>
            <w:tcW w:w="499" w:type="pct"/>
            <w:tcBorders>
              <w:top w:val="nil"/>
              <w:left w:val="nil"/>
              <w:bottom w:val="single" w:sz="4" w:space="0" w:color="auto"/>
              <w:right w:val="single" w:sz="4" w:space="0" w:color="auto"/>
            </w:tcBorders>
            <w:hideMark/>
          </w:tcPr>
          <w:p w14:paraId="2B5AD7FF"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3-5 Years</w:t>
            </w:r>
          </w:p>
        </w:tc>
      </w:tr>
      <w:tr w:rsidR="00ED70BD" w:rsidRPr="00ED70BD" w14:paraId="64448FFF" w14:textId="77777777" w:rsidTr="00ED70BD">
        <w:trPr>
          <w:trHeight w:val="368"/>
        </w:trPr>
        <w:tc>
          <w:tcPr>
            <w:tcW w:w="530" w:type="pct"/>
            <w:tcBorders>
              <w:top w:val="nil"/>
              <w:left w:val="single" w:sz="4" w:space="0" w:color="auto"/>
              <w:bottom w:val="single" w:sz="4" w:space="0" w:color="auto"/>
              <w:right w:val="single" w:sz="4" w:space="0" w:color="auto"/>
            </w:tcBorders>
            <w:hideMark/>
          </w:tcPr>
          <w:p w14:paraId="1450820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lastRenderedPageBreak/>
              <w:t>04AP-09-ALRT</w:t>
            </w:r>
          </w:p>
        </w:tc>
        <w:tc>
          <w:tcPr>
            <w:tcW w:w="655" w:type="pct"/>
            <w:tcBorders>
              <w:top w:val="nil"/>
              <w:left w:val="nil"/>
              <w:bottom w:val="single" w:sz="4" w:space="0" w:color="auto"/>
              <w:right w:val="single" w:sz="4" w:space="0" w:color="auto"/>
            </w:tcBorders>
            <w:hideMark/>
          </w:tcPr>
          <w:p w14:paraId="6F99CD5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Public</w:t>
            </w:r>
            <w:r w:rsidRPr="00ED70BD">
              <w:rPr>
                <w:rFonts w:ascii="Times New Roman" w:eastAsia="Times New Roman" w:hAnsi="Times New Roman" w:cs="Times New Roman"/>
                <w:color w:val="000000"/>
                <w:kern w:val="0"/>
                <w:sz w:val="20"/>
                <w:szCs w:val="20"/>
                <w14:ligatures w14:val="none"/>
              </w:rPr>
              <w:br/>
              <w:t>Notification and</w:t>
            </w:r>
            <w:r w:rsidRPr="00ED70BD">
              <w:rPr>
                <w:rFonts w:ascii="Times New Roman" w:eastAsia="Times New Roman" w:hAnsi="Times New Roman" w:cs="Times New Roman"/>
                <w:color w:val="000000"/>
                <w:kern w:val="0"/>
                <w:sz w:val="20"/>
                <w:szCs w:val="20"/>
                <w14:ligatures w14:val="none"/>
              </w:rPr>
              <w:br/>
              <w:t>Warning</w:t>
            </w:r>
          </w:p>
        </w:tc>
        <w:tc>
          <w:tcPr>
            <w:tcW w:w="1680" w:type="pct"/>
            <w:tcBorders>
              <w:top w:val="nil"/>
              <w:left w:val="nil"/>
              <w:bottom w:val="single" w:sz="4" w:space="0" w:color="auto"/>
              <w:right w:val="single" w:sz="4" w:space="0" w:color="auto"/>
            </w:tcBorders>
            <w:hideMark/>
          </w:tcPr>
          <w:p w14:paraId="7A6676C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Systems used to alert the public </w:t>
            </w:r>
            <w:proofErr w:type="gramStart"/>
            <w:r w:rsidRPr="00ED70BD">
              <w:rPr>
                <w:rFonts w:ascii="Times New Roman" w:eastAsia="Times New Roman" w:hAnsi="Times New Roman" w:cs="Times New Roman"/>
                <w:color w:val="000000"/>
                <w:kern w:val="0"/>
                <w:sz w:val="20"/>
                <w:szCs w:val="20"/>
                <w14:ligatures w14:val="none"/>
              </w:rPr>
              <w:t>of</w:t>
            </w:r>
            <w:proofErr w:type="gramEnd"/>
            <w:r w:rsidRPr="00ED70BD">
              <w:rPr>
                <w:rFonts w:ascii="Times New Roman" w:eastAsia="Times New Roman" w:hAnsi="Times New Roman" w:cs="Times New Roman"/>
                <w:color w:val="000000"/>
                <w:kern w:val="0"/>
                <w:sz w:val="20"/>
                <w:szCs w:val="20"/>
                <w14:ligatures w14:val="none"/>
              </w:rPr>
              <w:t xml:space="preserve"> protective actions or to provide </w:t>
            </w:r>
            <w:proofErr w:type="gramStart"/>
            <w:r w:rsidRPr="00ED70BD">
              <w:rPr>
                <w:rFonts w:ascii="Times New Roman" w:eastAsia="Times New Roman" w:hAnsi="Times New Roman" w:cs="Times New Roman"/>
                <w:color w:val="000000"/>
                <w:kern w:val="0"/>
                <w:sz w:val="20"/>
                <w:szCs w:val="20"/>
                <w14:ligatures w14:val="none"/>
              </w:rPr>
              <w:t>warning</w:t>
            </w:r>
            <w:proofErr w:type="gramEnd"/>
            <w:r w:rsidRPr="00ED70BD">
              <w:rPr>
                <w:rFonts w:ascii="Times New Roman" w:eastAsia="Times New Roman" w:hAnsi="Times New Roman" w:cs="Times New Roman"/>
                <w:color w:val="000000"/>
                <w:kern w:val="0"/>
                <w:sz w:val="20"/>
                <w:szCs w:val="20"/>
                <w14:ligatures w14:val="none"/>
              </w:rPr>
              <w:t xml:space="preserve"> to the public in the event of an incident, such as sirens, the Emergency Alert System (EAS), the Integrated Public Alert and Warning System (IPAWS), and Wireless Emergency Alerts (WEA).</w:t>
            </w:r>
          </w:p>
        </w:tc>
        <w:tc>
          <w:tcPr>
            <w:tcW w:w="1636" w:type="pct"/>
            <w:tcBorders>
              <w:top w:val="nil"/>
              <w:left w:val="nil"/>
              <w:bottom w:val="single" w:sz="4" w:space="0" w:color="auto"/>
              <w:right w:val="single" w:sz="4" w:space="0" w:color="auto"/>
            </w:tcBorders>
            <w:hideMark/>
          </w:tcPr>
          <w:p w14:paraId="47E7FF9F"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Fees related to telecommunications services to support the system are the responsibility of the jurisdiction and are not allowable under this item. When utilizing FEMA program funds to build, upgrade, enhance, or replace communications systems, grantees and sub-grantees should develop a comprehensive interoperable communications plan before procurement decisions are made.</w:t>
            </w:r>
          </w:p>
        </w:tc>
        <w:tc>
          <w:tcPr>
            <w:tcW w:w="499" w:type="pct"/>
            <w:tcBorders>
              <w:top w:val="nil"/>
              <w:left w:val="nil"/>
              <w:bottom w:val="single" w:sz="4" w:space="0" w:color="auto"/>
              <w:right w:val="single" w:sz="4" w:space="0" w:color="auto"/>
            </w:tcBorders>
            <w:hideMark/>
          </w:tcPr>
          <w:p w14:paraId="2A464151" w14:textId="5F5F0A39"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3-10 Years</w:t>
            </w:r>
          </w:p>
        </w:tc>
      </w:tr>
      <w:tr w:rsidR="00ED70BD" w:rsidRPr="00ED70BD" w14:paraId="2B1C4378" w14:textId="77777777" w:rsidTr="00ED70BD">
        <w:trPr>
          <w:trHeight w:val="692"/>
        </w:trPr>
        <w:tc>
          <w:tcPr>
            <w:tcW w:w="530" w:type="pct"/>
            <w:tcBorders>
              <w:top w:val="nil"/>
              <w:left w:val="single" w:sz="4" w:space="0" w:color="auto"/>
              <w:bottom w:val="single" w:sz="4" w:space="0" w:color="auto"/>
              <w:right w:val="single" w:sz="4" w:space="0" w:color="auto"/>
            </w:tcBorders>
            <w:hideMark/>
          </w:tcPr>
          <w:p w14:paraId="3555261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04AP-11-SAAS</w:t>
            </w:r>
          </w:p>
        </w:tc>
        <w:tc>
          <w:tcPr>
            <w:tcW w:w="655" w:type="pct"/>
            <w:tcBorders>
              <w:top w:val="nil"/>
              <w:left w:val="nil"/>
              <w:bottom w:val="single" w:sz="4" w:space="0" w:color="auto"/>
              <w:right w:val="single" w:sz="4" w:space="0" w:color="auto"/>
            </w:tcBorders>
            <w:hideMark/>
          </w:tcPr>
          <w:p w14:paraId="1EA3353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Applications, Software as a Service</w:t>
            </w:r>
          </w:p>
        </w:tc>
        <w:tc>
          <w:tcPr>
            <w:tcW w:w="1680" w:type="pct"/>
            <w:tcBorders>
              <w:top w:val="nil"/>
              <w:left w:val="nil"/>
              <w:bottom w:val="single" w:sz="4" w:space="0" w:color="auto"/>
              <w:right w:val="single" w:sz="4" w:space="0" w:color="auto"/>
            </w:tcBorders>
            <w:hideMark/>
          </w:tcPr>
          <w:p w14:paraId="763E732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Sometimes referred to as “on-demand software,” this application runs on the provider’s servers, delivering functionality via the internet to any device having connectivity and the required browser or interface. Access to the application is obtained via a service subscription rather than outright purchase, with all updates and configuration requirements handled by the service provider. </w:t>
            </w:r>
          </w:p>
        </w:tc>
        <w:tc>
          <w:tcPr>
            <w:tcW w:w="1636" w:type="pct"/>
            <w:tcBorders>
              <w:top w:val="nil"/>
              <w:left w:val="nil"/>
              <w:bottom w:val="single" w:sz="4" w:space="0" w:color="auto"/>
              <w:right w:val="single" w:sz="4" w:space="0" w:color="auto"/>
            </w:tcBorders>
            <w:hideMark/>
          </w:tcPr>
          <w:p w14:paraId="54D45AA9"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This item is limited to those services that support security systems such as access controls, camera networks, cybersecurity services or other critical infrastructure security.</w:t>
            </w:r>
          </w:p>
        </w:tc>
        <w:tc>
          <w:tcPr>
            <w:tcW w:w="499" w:type="pct"/>
            <w:tcBorders>
              <w:top w:val="nil"/>
              <w:left w:val="nil"/>
              <w:bottom w:val="single" w:sz="4" w:space="0" w:color="auto"/>
              <w:right w:val="single" w:sz="4" w:space="0" w:color="auto"/>
            </w:tcBorders>
            <w:hideMark/>
          </w:tcPr>
          <w:p w14:paraId="71A6E7EC"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3-5 Years</w:t>
            </w:r>
          </w:p>
        </w:tc>
      </w:tr>
      <w:tr w:rsidR="00ED70BD" w:rsidRPr="00ED70BD" w14:paraId="000382B5"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76551A7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39E48F0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10501D6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6C8560D8"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53E1298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7683E5AB"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21B9F8A0"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Cybersecurity Enhancement Equipment</w:t>
            </w:r>
          </w:p>
        </w:tc>
      </w:tr>
      <w:tr w:rsidR="00ED70BD" w:rsidRPr="00ED70BD" w14:paraId="7BDEC63D" w14:textId="77777777" w:rsidTr="00ED70B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3D0ECD17"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317B159A"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2C681F07"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3CFD8A0A"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59F8886A"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2E9631A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52FCE4FC"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4AE96C4A"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77EC3D6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3AAAD457" w14:textId="77777777" w:rsidTr="00ED70BD">
        <w:trPr>
          <w:trHeight w:val="1133"/>
        </w:trPr>
        <w:tc>
          <w:tcPr>
            <w:tcW w:w="530" w:type="pct"/>
            <w:tcBorders>
              <w:top w:val="nil"/>
              <w:left w:val="single" w:sz="4" w:space="0" w:color="auto"/>
              <w:bottom w:val="single" w:sz="4" w:space="0" w:color="auto"/>
              <w:right w:val="single" w:sz="4" w:space="0" w:color="auto"/>
            </w:tcBorders>
            <w:hideMark/>
          </w:tcPr>
          <w:p w14:paraId="65A57CD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05AU-00-TOKN</w:t>
            </w:r>
          </w:p>
        </w:tc>
        <w:tc>
          <w:tcPr>
            <w:tcW w:w="655" w:type="pct"/>
            <w:tcBorders>
              <w:top w:val="nil"/>
              <w:left w:val="nil"/>
              <w:bottom w:val="single" w:sz="4" w:space="0" w:color="auto"/>
              <w:right w:val="single" w:sz="4" w:space="0" w:color="auto"/>
            </w:tcBorders>
            <w:hideMark/>
          </w:tcPr>
          <w:p w14:paraId="18B2604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Remote</w:t>
            </w:r>
            <w:r w:rsidRPr="00ED70BD">
              <w:rPr>
                <w:rFonts w:ascii="Times New Roman" w:eastAsia="Times New Roman" w:hAnsi="Times New Roman" w:cs="Times New Roman"/>
                <w:color w:val="000000"/>
                <w:kern w:val="0"/>
                <w:sz w:val="20"/>
                <w:szCs w:val="20"/>
                <w14:ligatures w14:val="none"/>
              </w:rPr>
              <w:br/>
              <w:t>Authentication</w:t>
            </w:r>
          </w:p>
        </w:tc>
        <w:tc>
          <w:tcPr>
            <w:tcW w:w="1680" w:type="pct"/>
            <w:tcBorders>
              <w:top w:val="nil"/>
              <w:left w:val="nil"/>
              <w:bottom w:val="single" w:sz="4" w:space="0" w:color="auto"/>
              <w:right w:val="single" w:sz="4" w:space="0" w:color="auto"/>
            </w:tcBorders>
            <w:hideMark/>
          </w:tcPr>
          <w:p w14:paraId="0E2545E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used to provide enhanced remote authentication, often consisting of a server or synchronization scheme and a device, token, or smartphone application.</w:t>
            </w:r>
          </w:p>
        </w:tc>
        <w:tc>
          <w:tcPr>
            <w:tcW w:w="1636" w:type="pct"/>
            <w:tcBorders>
              <w:top w:val="nil"/>
              <w:left w:val="nil"/>
              <w:bottom w:val="single" w:sz="4" w:space="0" w:color="auto"/>
              <w:right w:val="single" w:sz="4" w:space="0" w:color="auto"/>
            </w:tcBorders>
            <w:hideMark/>
          </w:tcPr>
          <w:p w14:paraId="46F7D09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Remote Authentications. Although allowable, the MOHS has not funded this category with past funding.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2C0AF020"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5-10 Years</w:t>
            </w:r>
          </w:p>
        </w:tc>
      </w:tr>
      <w:tr w:rsidR="00ED70BD" w:rsidRPr="00ED70BD" w14:paraId="388E4EA0" w14:textId="77777777" w:rsidTr="00ED70BD">
        <w:trPr>
          <w:trHeight w:val="800"/>
        </w:trPr>
        <w:tc>
          <w:tcPr>
            <w:tcW w:w="530" w:type="pct"/>
            <w:tcBorders>
              <w:top w:val="nil"/>
              <w:left w:val="single" w:sz="4" w:space="0" w:color="auto"/>
              <w:bottom w:val="single" w:sz="4" w:space="0" w:color="auto"/>
              <w:right w:val="single" w:sz="4" w:space="0" w:color="auto"/>
            </w:tcBorders>
            <w:hideMark/>
          </w:tcPr>
          <w:p w14:paraId="46A0E9D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05EN-00-ECRP</w:t>
            </w:r>
          </w:p>
        </w:tc>
        <w:tc>
          <w:tcPr>
            <w:tcW w:w="655" w:type="pct"/>
            <w:tcBorders>
              <w:top w:val="nil"/>
              <w:left w:val="nil"/>
              <w:bottom w:val="single" w:sz="4" w:space="0" w:color="auto"/>
              <w:right w:val="single" w:sz="4" w:space="0" w:color="auto"/>
            </w:tcBorders>
            <w:hideMark/>
          </w:tcPr>
          <w:p w14:paraId="2637CDF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Software, Encryption</w:t>
            </w:r>
          </w:p>
        </w:tc>
        <w:tc>
          <w:tcPr>
            <w:tcW w:w="1680" w:type="pct"/>
            <w:tcBorders>
              <w:top w:val="nil"/>
              <w:left w:val="nil"/>
              <w:bottom w:val="single" w:sz="4" w:space="0" w:color="auto"/>
              <w:right w:val="single" w:sz="4" w:space="0" w:color="auto"/>
            </w:tcBorders>
            <w:hideMark/>
          </w:tcPr>
          <w:p w14:paraId="45E4ABE2" w14:textId="49A126C2"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Encryption software </w:t>
            </w:r>
            <w:r w:rsidRPr="00ED70BD">
              <w:rPr>
                <w:rFonts w:ascii="Times New Roman" w:eastAsia="Times New Roman" w:hAnsi="Times New Roman" w:cs="Times New Roman"/>
                <w:color w:val="000000"/>
                <w:kern w:val="0"/>
                <w:sz w:val="20"/>
                <w:szCs w:val="20"/>
                <w14:ligatures w14:val="none"/>
              </w:rPr>
              <w:t>is used</w:t>
            </w:r>
            <w:r w:rsidRPr="00ED70BD">
              <w:rPr>
                <w:rFonts w:ascii="Times New Roman" w:eastAsia="Times New Roman" w:hAnsi="Times New Roman" w:cs="Times New Roman"/>
                <w:color w:val="000000"/>
                <w:kern w:val="0"/>
                <w:sz w:val="20"/>
                <w:szCs w:val="20"/>
                <w14:ligatures w14:val="none"/>
              </w:rPr>
              <w:t xml:space="preserve"> to protect stored data files or email messages.</w:t>
            </w:r>
          </w:p>
        </w:tc>
        <w:tc>
          <w:tcPr>
            <w:tcW w:w="1636" w:type="pct"/>
            <w:tcBorders>
              <w:top w:val="nil"/>
              <w:left w:val="nil"/>
              <w:bottom w:val="single" w:sz="4" w:space="0" w:color="auto"/>
              <w:right w:val="single" w:sz="4" w:space="0" w:color="auto"/>
            </w:tcBorders>
            <w:hideMark/>
          </w:tcPr>
          <w:p w14:paraId="70A2D750"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Encryption Software. Although allowable, the MOHS has not funded this category with past funding. Must provide justification as to WHY this is essential for your organization and how software would be used. </w:t>
            </w:r>
            <w:r w:rsidRPr="00ED70BD">
              <w:rPr>
                <w:rFonts w:ascii="Times New Roman" w:eastAsia="Times New Roman" w:hAnsi="Times New Roman" w:cs="Times New Roman"/>
                <w:color w:val="000000"/>
                <w:kern w:val="0"/>
                <w:sz w:val="20"/>
                <w:szCs w:val="20"/>
                <w14:ligatures w14:val="none"/>
              </w:rPr>
              <w:br w:type="page"/>
              <w:t xml:space="preserve">Services are only purchased for (1) year and the period of performance for the grant. Agency must be able to show how the services will be able to continue without grant funds. </w:t>
            </w:r>
          </w:p>
        </w:tc>
        <w:tc>
          <w:tcPr>
            <w:tcW w:w="499" w:type="pct"/>
            <w:tcBorders>
              <w:top w:val="nil"/>
              <w:left w:val="nil"/>
              <w:bottom w:val="single" w:sz="4" w:space="0" w:color="auto"/>
              <w:right w:val="single" w:sz="4" w:space="0" w:color="auto"/>
            </w:tcBorders>
            <w:hideMark/>
          </w:tcPr>
          <w:p w14:paraId="322B0C94"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5-10 Years</w:t>
            </w:r>
          </w:p>
        </w:tc>
      </w:tr>
      <w:tr w:rsidR="00ED70BD" w:rsidRPr="00ED70BD" w14:paraId="07806702"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466B273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05HS-00-MALW</w:t>
            </w:r>
          </w:p>
        </w:tc>
        <w:tc>
          <w:tcPr>
            <w:tcW w:w="655" w:type="pct"/>
            <w:tcBorders>
              <w:top w:val="nil"/>
              <w:left w:val="nil"/>
              <w:bottom w:val="single" w:sz="4" w:space="0" w:color="auto"/>
              <w:right w:val="single" w:sz="4" w:space="0" w:color="auto"/>
            </w:tcBorders>
            <w:hideMark/>
          </w:tcPr>
          <w:p w14:paraId="17CB5F3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Software, Malware/Anti-</w:t>
            </w:r>
            <w:r w:rsidRPr="00ED70BD">
              <w:rPr>
                <w:rFonts w:ascii="Times New Roman" w:eastAsia="Times New Roman" w:hAnsi="Times New Roman" w:cs="Times New Roman"/>
                <w:color w:val="000000"/>
                <w:kern w:val="0"/>
                <w:sz w:val="20"/>
                <w:szCs w:val="20"/>
                <w14:ligatures w14:val="none"/>
              </w:rPr>
              <w:br/>
              <w:t>Virus Protection</w:t>
            </w:r>
          </w:p>
        </w:tc>
        <w:tc>
          <w:tcPr>
            <w:tcW w:w="1680" w:type="pct"/>
            <w:tcBorders>
              <w:top w:val="nil"/>
              <w:left w:val="nil"/>
              <w:bottom w:val="single" w:sz="4" w:space="0" w:color="auto"/>
              <w:right w:val="single" w:sz="4" w:space="0" w:color="auto"/>
            </w:tcBorders>
            <w:hideMark/>
          </w:tcPr>
          <w:p w14:paraId="700F8CD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Software for protection against viruses, spyware, and malicious code. May be obtained for individual hosts or for entire network segments.</w:t>
            </w:r>
          </w:p>
        </w:tc>
        <w:tc>
          <w:tcPr>
            <w:tcW w:w="1636" w:type="pct"/>
            <w:tcBorders>
              <w:top w:val="nil"/>
              <w:left w:val="nil"/>
              <w:bottom w:val="single" w:sz="4" w:space="0" w:color="auto"/>
              <w:right w:val="single" w:sz="4" w:space="0" w:color="auto"/>
            </w:tcBorders>
            <w:hideMark/>
          </w:tcPr>
          <w:p w14:paraId="1F9B6DE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28D4D1C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3-5 Years</w:t>
            </w:r>
          </w:p>
        </w:tc>
      </w:tr>
      <w:tr w:rsidR="00ED70BD" w:rsidRPr="00ED70BD" w14:paraId="653D753B" w14:textId="77777777" w:rsidTr="00ED70BD">
        <w:trPr>
          <w:trHeight w:val="1043"/>
        </w:trPr>
        <w:tc>
          <w:tcPr>
            <w:tcW w:w="530" w:type="pct"/>
            <w:tcBorders>
              <w:top w:val="nil"/>
              <w:left w:val="single" w:sz="4" w:space="0" w:color="auto"/>
              <w:bottom w:val="single" w:sz="4" w:space="0" w:color="auto"/>
              <w:right w:val="single" w:sz="4" w:space="0" w:color="auto"/>
            </w:tcBorders>
            <w:hideMark/>
          </w:tcPr>
          <w:p w14:paraId="63FC758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lastRenderedPageBreak/>
              <w:t>05HS-00-PFWL</w:t>
            </w:r>
          </w:p>
        </w:tc>
        <w:tc>
          <w:tcPr>
            <w:tcW w:w="655" w:type="pct"/>
            <w:tcBorders>
              <w:top w:val="nil"/>
              <w:left w:val="nil"/>
              <w:bottom w:val="single" w:sz="4" w:space="0" w:color="auto"/>
              <w:right w:val="single" w:sz="4" w:space="0" w:color="auto"/>
            </w:tcBorders>
            <w:hideMark/>
          </w:tcPr>
          <w:p w14:paraId="673629B7"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Personal</w:t>
            </w:r>
            <w:r w:rsidRPr="00ED70BD">
              <w:rPr>
                <w:rFonts w:ascii="Times New Roman" w:eastAsia="Times New Roman" w:hAnsi="Times New Roman" w:cs="Times New Roman"/>
                <w:color w:val="000000"/>
                <w:kern w:val="0"/>
                <w:sz w:val="20"/>
                <w:szCs w:val="20"/>
                <w14:ligatures w14:val="none"/>
              </w:rPr>
              <w:br/>
              <w:t>Firewall</w:t>
            </w:r>
          </w:p>
        </w:tc>
        <w:tc>
          <w:tcPr>
            <w:tcW w:w="1680" w:type="pct"/>
            <w:tcBorders>
              <w:top w:val="nil"/>
              <w:left w:val="nil"/>
              <w:bottom w:val="single" w:sz="4" w:space="0" w:color="auto"/>
              <w:right w:val="single" w:sz="4" w:space="0" w:color="auto"/>
            </w:tcBorders>
            <w:hideMark/>
          </w:tcPr>
          <w:p w14:paraId="23EB319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Personal firewall for operation on individual workstations. This item is usually a software solution, but appliances are also available. See also: 05NP-00-FWAL. </w:t>
            </w:r>
          </w:p>
        </w:tc>
        <w:tc>
          <w:tcPr>
            <w:tcW w:w="1636" w:type="pct"/>
            <w:tcBorders>
              <w:top w:val="nil"/>
              <w:left w:val="nil"/>
              <w:bottom w:val="single" w:sz="4" w:space="0" w:color="auto"/>
              <w:right w:val="single" w:sz="4" w:space="0" w:color="auto"/>
            </w:tcBorders>
            <w:hideMark/>
          </w:tcPr>
          <w:p w14:paraId="10DB2F9A"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Personal Firewall System. Although allowable, the MOHS has not funded this category with past funding. Any computer </w:t>
            </w:r>
            <w:proofErr w:type="gramStart"/>
            <w:r w:rsidRPr="00ED70BD">
              <w:rPr>
                <w:rFonts w:ascii="Times New Roman" w:eastAsia="Times New Roman" w:hAnsi="Times New Roman" w:cs="Times New Roman"/>
                <w:color w:val="000000"/>
                <w:kern w:val="0"/>
                <w:sz w:val="20"/>
                <w:szCs w:val="20"/>
                <w14:ligatures w14:val="none"/>
              </w:rPr>
              <w:t>systems</w:t>
            </w:r>
            <w:proofErr w:type="gramEnd"/>
            <w:r w:rsidRPr="00ED70BD">
              <w:rPr>
                <w:rFonts w:ascii="Times New Roman" w:eastAsia="Times New Roman" w:hAnsi="Times New Roman" w:cs="Times New Roman"/>
                <w:color w:val="000000"/>
                <w:kern w:val="0"/>
                <w:sz w:val="20"/>
                <w:szCs w:val="20"/>
                <w14:ligatures w14:val="none"/>
              </w:rPr>
              <w:t xml:space="preserve"> should be for the entity and not for personal use.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 </w:t>
            </w:r>
          </w:p>
        </w:tc>
        <w:tc>
          <w:tcPr>
            <w:tcW w:w="499" w:type="pct"/>
            <w:tcBorders>
              <w:top w:val="nil"/>
              <w:left w:val="nil"/>
              <w:bottom w:val="single" w:sz="4" w:space="0" w:color="auto"/>
              <w:right w:val="single" w:sz="4" w:space="0" w:color="auto"/>
            </w:tcBorders>
            <w:hideMark/>
          </w:tcPr>
          <w:p w14:paraId="43BDD913"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5-7 Years</w:t>
            </w:r>
          </w:p>
        </w:tc>
      </w:tr>
      <w:tr w:rsidR="00ED70BD" w:rsidRPr="00ED70BD" w14:paraId="78441FF3"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01C755A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05NP-00-FWAL</w:t>
            </w:r>
          </w:p>
        </w:tc>
        <w:tc>
          <w:tcPr>
            <w:tcW w:w="655" w:type="pct"/>
            <w:tcBorders>
              <w:top w:val="nil"/>
              <w:left w:val="nil"/>
              <w:bottom w:val="single" w:sz="4" w:space="0" w:color="auto"/>
              <w:right w:val="single" w:sz="4" w:space="0" w:color="auto"/>
            </w:tcBorders>
            <w:hideMark/>
          </w:tcPr>
          <w:p w14:paraId="572D3C0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Firewall, Network</w:t>
            </w:r>
          </w:p>
        </w:tc>
        <w:tc>
          <w:tcPr>
            <w:tcW w:w="1680" w:type="pct"/>
            <w:tcBorders>
              <w:top w:val="nil"/>
              <w:left w:val="nil"/>
              <w:bottom w:val="single" w:sz="4" w:space="0" w:color="auto"/>
              <w:right w:val="single" w:sz="4" w:space="0" w:color="auto"/>
            </w:tcBorders>
            <w:hideMark/>
          </w:tcPr>
          <w:p w14:paraId="7D65F03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Firewall (software or standalone appliance) for use in</w:t>
            </w:r>
            <w:r w:rsidRPr="00ED70BD">
              <w:rPr>
                <w:rFonts w:ascii="Times New Roman" w:eastAsia="Times New Roman" w:hAnsi="Times New Roman" w:cs="Times New Roman"/>
                <w:color w:val="000000"/>
                <w:kern w:val="0"/>
                <w:sz w:val="20"/>
                <w:szCs w:val="20"/>
                <w14:ligatures w14:val="none"/>
              </w:rPr>
              <w:br/>
              <w:t>protecting networks. See also 05HS-00-PFWL.</w:t>
            </w:r>
          </w:p>
        </w:tc>
        <w:tc>
          <w:tcPr>
            <w:tcW w:w="1636" w:type="pct"/>
            <w:tcBorders>
              <w:top w:val="nil"/>
              <w:left w:val="nil"/>
              <w:bottom w:val="single" w:sz="4" w:space="0" w:color="auto"/>
              <w:right w:val="single" w:sz="4" w:space="0" w:color="auto"/>
            </w:tcBorders>
            <w:hideMark/>
          </w:tcPr>
          <w:p w14:paraId="4ABDDDA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Network Firewall System. Although allowable, the MOHS has not funded this category with past funding.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70EE1262"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5-7 Years</w:t>
            </w:r>
          </w:p>
        </w:tc>
      </w:tr>
      <w:tr w:rsidR="00ED70BD" w:rsidRPr="00ED70BD" w14:paraId="41F07542" w14:textId="77777777" w:rsidTr="00ED70BD">
        <w:trPr>
          <w:trHeight w:val="980"/>
        </w:trPr>
        <w:tc>
          <w:tcPr>
            <w:tcW w:w="530" w:type="pct"/>
            <w:tcBorders>
              <w:top w:val="nil"/>
              <w:left w:val="single" w:sz="4" w:space="0" w:color="auto"/>
              <w:bottom w:val="single" w:sz="4" w:space="0" w:color="auto"/>
              <w:right w:val="single" w:sz="4" w:space="0" w:color="auto"/>
            </w:tcBorders>
            <w:hideMark/>
          </w:tcPr>
          <w:p w14:paraId="688AB24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05NP-00-IDPS</w:t>
            </w:r>
          </w:p>
        </w:tc>
        <w:tc>
          <w:tcPr>
            <w:tcW w:w="655" w:type="pct"/>
            <w:tcBorders>
              <w:top w:val="nil"/>
              <w:left w:val="nil"/>
              <w:bottom w:val="single" w:sz="4" w:space="0" w:color="auto"/>
              <w:right w:val="single" w:sz="4" w:space="0" w:color="auto"/>
            </w:tcBorders>
            <w:hideMark/>
          </w:tcPr>
          <w:p w14:paraId="2BE6112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Intrusion</w:t>
            </w:r>
            <w:r w:rsidRPr="00ED70BD">
              <w:rPr>
                <w:rFonts w:ascii="Times New Roman" w:eastAsia="Times New Roman" w:hAnsi="Times New Roman" w:cs="Times New Roman"/>
                <w:color w:val="000000"/>
                <w:kern w:val="0"/>
                <w:sz w:val="20"/>
                <w:szCs w:val="20"/>
                <w14:ligatures w14:val="none"/>
              </w:rPr>
              <w:br/>
              <w:t>Detection/Prevention</w:t>
            </w:r>
          </w:p>
        </w:tc>
        <w:tc>
          <w:tcPr>
            <w:tcW w:w="1680" w:type="pct"/>
            <w:tcBorders>
              <w:top w:val="nil"/>
              <w:left w:val="nil"/>
              <w:bottom w:val="single" w:sz="4" w:space="0" w:color="auto"/>
              <w:right w:val="single" w:sz="4" w:space="0" w:color="auto"/>
            </w:tcBorders>
            <w:hideMark/>
          </w:tcPr>
          <w:p w14:paraId="342CEA5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Intrusion Detection and/or Prevention System deployed at either host or network level to detect and/or prevent unauthorized or aberrant (i.e., abnormal) behavior on the network.</w:t>
            </w:r>
          </w:p>
        </w:tc>
        <w:tc>
          <w:tcPr>
            <w:tcW w:w="1636" w:type="pct"/>
            <w:tcBorders>
              <w:top w:val="nil"/>
              <w:left w:val="nil"/>
              <w:bottom w:val="single" w:sz="4" w:space="0" w:color="auto"/>
              <w:right w:val="single" w:sz="4" w:space="0" w:color="auto"/>
            </w:tcBorders>
            <w:hideMark/>
          </w:tcPr>
          <w:p w14:paraId="3A262DDF"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Intrusion Systems. Although allowable, the MOHS has not funded this category with past funding.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65BA94EF"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 Years</w:t>
            </w:r>
          </w:p>
        </w:tc>
      </w:tr>
      <w:tr w:rsidR="00ED70BD" w:rsidRPr="00ED70BD" w14:paraId="3BAC0471"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40CF360D"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685958B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46ADC6C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13AF15F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3EEA402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32A8CB8C"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51332895"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Interoperable Communications Equipment</w:t>
            </w:r>
          </w:p>
        </w:tc>
      </w:tr>
      <w:tr w:rsidR="00ED70BD" w:rsidRPr="00ED70BD" w14:paraId="55E2A51A" w14:textId="77777777" w:rsidTr="00ED70BD">
        <w:trPr>
          <w:trHeight w:val="585"/>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10959786"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4D39F070"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72E4C3D6"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7DFABA3A"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42C9D0BA"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535959D1"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25D7967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5AB54B5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78194F0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6F306735"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16C743E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spacing w:val="-2"/>
                <w:kern w:val="0"/>
                <w:sz w:val="20"/>
                <w14:ligatures w14:val="none"/>
              </w:rPr>
              <w:t>06CP-01-PORT</w:t>
            </w:r>
          </w:p>
        </w:tc>
        <w:tc>
          <w:tcPr>
            <w:tcW w:w="655" w:type="pct"/>
            <w:tcBorders>
              <w:top w:val="nil"/>
              <w:left w:val="nil"/>
              <w:bottom w:val="single" w:sz="4" w:space="0" w:color="auto"/>
              <w:right w:val="single" w:sz="4" w:space="0" w:color="auto"/>
            </w:tcBorders>
            <w:shd w:val="clear" w:color="000000" w:fill="FFFFFF"/>
            <w:hideMark/>
          </w:tcPr>
          <w:p w14:paraId="7583A52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Radio, Portable</w:t>
            </w:r>
          </w:p>
        </w:tc>
        <w:tc>
          <w:tcPr>
            <w:tcW w:w="1680" w:type="pct"/>
            <w:tcBorders>
              <w:top w:val="nil"/>
              <w:left w:val="nil"/>
              <w:bottom w:val="single" w:sz="4" w:space="0" w:color="auto"/>
              <w:right w:val="single" w:sz="4" w:space="0" w:color="auto"/>
            </w:tcBorders>
            <w:hideMark/>
          </w:tcPr>
          <w:p w14:paraId="56633BD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Individual/portable radio transceivers.</w:t>
            </w:r>
          </w:p>
        </w:tc>
        <w:tc>
          <w:tcPr>
            <w:tcW w:w="1636" w:type="pct"/>
            <w:tcBorders>
              <w:top w:val="nil"/>
              <w:left w:val="nil"/>
              <w:bottom w:val="single" w:sz="4" w:space="0" w:color="auto"/>
              <w:right w:val="single" w:sz="4" w:space="0" w:color="auto"/>
            </w:tcBorders>
            <w:hideMark/>
          </w:tcPr>
          <w:p w14:paraId="37FB27A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Portable radio</w:t>
            </w:r>
          </w:p>
        </w:tc>
        <w:tc>
          <w:tcPr>
            <w:tcW w:w="499" w:type="pct"/>
            <w:tcBorders>
              <w:top w:val="nil"/>
              <w:left w:val="nil"/>
              <w:bottom w:val="single" w:sz="4" w:space="0" w:color="auto"/>
              <w:right w:val="single" w:sz="4" w:space="0" w:color="auto"/>
            </w:tcBorders>
            <w:hideMark/>
          </w:tcPr>
          <w:p w14:paraId="392C2FB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 Years</w:t>
            </w:r>
          </w:p>
        </w:tc>
      </w:tr>
      <w:tr w:rsidR="00ED70BD" w:rsidRPr="00ED70BD" w14:paraId="6623E163"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2EF45EA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06CP-01-REPT</w:t>
            </w:r>
          </w:p>
        </w:tc>
        <w:tc>
          <w:tcPr>
            <w:tcW w:w="655" w:type="pct"/>
            <w:tcBorders>
              <w:top w:val="nil"/>
              <w:left w:val="nil"/>
              <w:bottom w:val="single" w:sz="4" w:space="0" w:color="auto"/>
              <w:right w:val="single" w:sz="4" w:space="0" w:color="auto"/>
            </w:tcBorders>
            <w:hideMark/>
          </w:tcPr>
          <w:p w14:paraId="6FDF226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Repeater</w:t>
            </w:r>
          </w:p>
        </w:tc>
        <w:tc>
          <w:tcPr>
            <w:tcW w:w="1680" w:type="pct"/>
            <w:tcBorders>
              <w:top w:val="nil"/>
              <w:left w:val="nil"/>
              <w:bottom w:val="single" w:sz="4" w:space="0" w:color="auto"/>
              <w:right w:val="single" w:sz="4" w:space="0" w:color="auto"/>
            </w:tcBorders>
            <w:hideMark/>
          </w:tcPr>
          <w:p w14:paraId="5E38849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Electronic device that receives a weak or low-level signal and retransmits that signal to extend usable range.</w:t>
            </w:r>
          </w:p>
        </w:tc>
        <w:tc>
          <w:tcPr>
            <w:tcW w:w="1636" w:type="pct"/>
            <w:tcBorders>
              <w:top w:val="nil"/>
              <w:left w:val="nil"/>
              <w:bottom w:val="single" w:sz="4" w:space="0" w:color="auto"/>
              <w:right w:val="single" w:sz="4" w:space="0" w:color="auto"/>
            </w:tcBorders>
            <w:hideMark/>
          </w:tcPr>
          <w:p w14:paraId="394287EB"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hideMark/>
          </w:tcPr>
          <w:p w14:paraId="486502A9"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3-5 Years</w:t>
            </w:r>
          </w:p>
        </w:tc>
      </w:tr>
      <w:tr w:rsidR="00ED70BD" w:rsidRPr="00ED70BD" w14:paraId="430ED10F" w14:textId="77777777" w:rsidTr="00ED70BD">
        <w:trPr>
          <w:trHeight w:val="305"/>
        </w:trPr>
        <w:tc>
          <w:tcPr>
            <w:tcW w:w="530" w:type="pct"/>
            <w:tcBorders>
              <w:top w:val="nil"/>
              <w:left w:val="single" w:sz="4" w:space="0" w:color="auto"/>
              <w:bottom w:val="single" w:sz="4" w:space="0" w:color="auto"/>
              <w:right w:val="single" w:sz="4" w:space="0" w:color="auto"/>
            </w:tcBorders>
            <w:hideMark/>
          </w:tcPr>
          <w:p w14:paraId="098A848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06CC-02-PAGE</w:t>
            </w:r>
          </w:p>
        </w:tc>
        <w:tc>
          <w:tcPr>
            <w:tcW w:w="655" w:type="pct"/>
            <w:tcBorders>
              <w:top w:val="nil"/>
              <w:left w:val="nil"/>
              <w:bottom w:val="single" w:sz="4" w:space="0" w:color="auto"/>
              <w:right w:val="single" w:sz="4" w:space="0" w:color="auto"/>
            </w:tcBorders>
            <w:hideMark/>
          </w:tcPr>
          <w:p w14:paraId="220C238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Services/Systems-Paging</w:t>
            </w:r>
          </w:p>
        </w:tc>
        <w:tc>
          <w:tcPr>
            <w:tcW w:w="1680" w:type="pct"/>
            <w:tcBorders>
              <w:top w:val="nil"/>
              <w:left w:val="nil"/>
              <w:bottom w:val="single" w:sz="4" w:space="0" w:color="auto"/>
              <w:right w:val="single" w:sz="4" w:space="0" w:color="auto"/>
            </w:tcBorders>
            <w:hideMark/>
          </w:tcPr>
          <w:p w14:paraId="46BB2FF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Paging services/systems/applications; one-way text messaging for notifications or alerts</w:t>
            </w:r>
          </w:p>
        </w:tc>
        <w:tc>
          <w:tcPr>
            <w:tcW w:w="1636" w:type="pct"/>
            <w:tcBorders>
              <w:top w:val="nil"/>
              <w:left w:val="nil"/>
              <w:bottom w:val="single" w:sz="4" w:space="0" w:color="auto"/>
              <w:right w:val="single" w:sz="4" w:space="0" w:color="auto"/>
            </w:tcBorders>
            <w:hideMark/>
          </w:tcPr>
          <w:p w14:paraId="162B9BE7"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Paging services/systems, 1-way text messaging. Pagers. Although allowable, the MOHS has not funded this category with past funding. Must provide justification as to WHY this is essential for your organization and how services would be used. 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2208B4DA"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10 Years</w:t>
            </w:r>
          </w:p>
        </w:tc>
      </w:tr>
      <w:tr w:rsidR="00ED70BD" w:rsidRPr="00ED70BD" w14:paraId="395BE8B3"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2A76F95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06CP-03-ICOM</w:t>
            </w:r>
          </w:p>
        </w:tc>
        <w:tc>
          <w:tcPr>
            <w:tcW w:w="655" w:type="pct"/>
            <w:tcBorders>
              <w:top w:val="nil"/>
              <w:left w:val="nil"/>
              <w:bottom w:val="single" w:sz="4" w:space="0" w:color="auto"/>
              <w:right w:val="single" w:sz="4" w:space="0" w:color="auto"/>
            </w:tcBorders>
            <w:hideMark/>
          </w:tcPr>
          <w:p w14:paraId="3147CCE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Intercom/Intercom</w:t>
            </w:r>
            <w:r w:rsidRPr="00ED70BD">
              <w:rPr>
                <w:rFonts w:ascii="Times New Roman" w:eastAsia="Times New Roman" w:hAnsi="Times New Roman" w:cs="Times New Roman"/>
                <w:color w:val="000000"/>
                <w:kern w:val="0"/>
                <w:sz w:val="20"/>
                <w:szCs w:val="20"/>
                <w14:ligatures w14:val="none"/>
              </w:rPr>
              <w:br/>
              <w:t>System</w:t>
            </w:r>
          </w:p>
        </w:tc>
        <w:tc>
          <w:tcPr>
            <w:tcW w:w="1680" w:type="pct"/>
            <w:tcBorders>
              <w:top w:val="nil"/>
              <w:left w:val="nil"/>
              <w:bottom w:val="single" w:sz="4" w:space="0" w:color="auto"/>
              <w:right w:val="single" w:sz="4" w:space="0" w:color="auto"/>
            </w:tcBorders>
            <w:hideMark/>
          </w:tcPr>
          <w:p w14:paraId="2A8D8FE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Communication system for a limited number of personnel </w:t>
            </w:r>
            <w:proofErr w:type="gramStart"/>
            <w:r w:rsidRPr="00ED70BD">
              <w:rPr>
                <w:rFonts w:ascii="Times New Roman" w:eastAsia="Times New Roman" w:hAnsi="Times New Roman" w:cs="Times New Roman"/>
                <w:color w:val="000000"/>
                <w:kern w:val="0"/>
                <w:sz w:val="20"/>
                <w:szCs w:val="20"/>
                <w14:ligatures w14:val="none"/>
              </w:rPr>
              <w:t>in close proximity to</w:t>
            </w:r>
            <w:proofErr w:type="gramEnd"/>
            <w:r w:rsidRPr="00ED70BD">
              <w:rPr>
                <w:rFonts w:ascii="Times New Roman" w:eastAsia="Times New Roman" w:hAnsi="Times New Roman" w:cs="Times New Roman"/>
                <w:color w:val="000000"/>
                <w:kern w:val="0"/>
                <w:sz w:val="20"/>
                <w:szCs w:val="20"/>
                <w14:ligatures w14:val="none"/>
              </w:rPr>
              <w:t xml:space="preserve"> receive alerts or notification.</w:t>
            </w:r>
          </w:p>
        </w:tc>
        <w:tc>
          <w:tcPr>
            <w:tcW w:w="1636" w:type="pct"/>
            <w:tcBorders>
              <w:top w:val="nil"/>
              <w:left w:val="nil"/>
              <w:bottom w:val="single" w:sz="4" w:space="0" w:color="auto"/>
              <w:right w:val="single" w:sz="4" w:space="0" w:color="auto"/>
            </w:tcBorders>
            <w:hideMark/>
          </w:tcPr>
          <w:p w14:paraId="13D5F7F8" w14:textId="755F16BC"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 for hands-free (wired or wireless) communication for limited numbers of personnel in </w:t>
            </w:r>
            <w:r w:rsidRPr="00ED70BD">
              <w:rPr>
                <w:rFonts w:ascii="Times New Roman" w:eastAsia="Times New Roman" w:hAnsi="Times New Roman" w:cs="Times New Roman"/>
                <w:color w:val="000000"/>
                <w:kern w:val="0"/>
                <w:sz w:val="20"/>
                <w:szCs w:val="20"/>
                <w14:ligatures w14:val="none"/>
              </w:rPr>
              <w:t>proximity</w:t>
            </w:r>
            <w:r w:rsidRPr="00ED70BD">
              <w:rPr>
                <w:rFonts w:ascii="Times New Roman" w:eastAsia="Times New Roman" w:hAnsi="Times New Roman" w:cs="Times New Roman"/>
                <w:color w:val="000000"/>
                <w:kern w:val="0"/>
                <w:sz w:val="20"/>
                <w:szCs w:val="20"/>
                <w14:ligatures w14:val="none"/>
              </w:rPr>
              <w:t>, such as vehicle crew members.</w:t>
            </w:r>
          </w:p>
        </w:tc>
        <w:tc>
          <w:tcPr>
            <w:tcW w:w="499" w:type="pct"/>
            <w:tcBorders>
              <w:top w:val="nil"/>
              <w:left w:val="nil"/>
              <w:bottom w:val="single" w:sz="4" w:space="0" w:color="auto"/>
              <w:right w:val="single" w:sz="4" w:space="0" w:color="auto"/>
            </w:tcBorders>
            <w:hideMark/>
          </w:tcPr>
          <w:p w14:paraId="1296AC47"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5-10 Years</w:t>
            </w:r>
          </w:p>
        </w:tc>
      </w:tr>
      <w:tr w:rsidR="00ED70BD" w:rsidRPr="00ED70BD" w14:paraId="217A6629"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15FAEAC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lastRenderedPageBreak/>
              <w:t>06CP-03-PRAC</w:t>
            </w:r>
          </w:p>
        </w:tc>
        <w:tc>
          <w:tcPr>
            <w:tcW w:w="655" w:type="pct"/>
            <w:tcBorders>
              <w:top w:val="nil"/>
              <w:left w:val="nil"/>
              <w:bottom w:val="single" w:sz="4" w:space="0" w:color="auto"/>
              <w:right w:val="single" w:sz="4" w:space="0" w:color="auto"/>
            </w:tcBorders>
            <w:hideMark/>
          </w:tcPr>
          <w:p w14:paraId="560CABC7"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Accessories, Portable</w:t>
            </w:r>
            <w:r w:rsidRPr="00ED70BD">
              <w:rPr>
                <w:rFonts w:ascii="Times New Roman" w:eastAsia="Times New Roman" w:hAnsi="Times New Roman" w:cs="Times New Roman"/>
                <w:color w:val="000000"/>
                <w:kern w:val="0"/>
                <w:sz w:val="20"/>
                <w:szCs w:val="20"/>
                <w14:ligatures w14:val="none"/>
              </w:rPr>
              <w:br/>
              <w:t>Radio</w:t>
            </w:r>
          </w:p>
        </w:tc>
        <w:tc>
          <w:tcPr>
            <w:tcW w:w="1680" w:type="pct"/>
            <w:tcBorders>
              <w:top w:val="nil"/>
              <w:left w:val="nil"/>
              <w:bottom w:val="single" w:sz="4" w:space="0" w:color="auto"/>
              <w:right w:val="single" w:sz="4" w:space="0" w:color="auto"/>
            </w:tcBorders>
            <w:hideMark/>
          </w:tcPr>
          <w:p w14:paraId="3F26DDF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Speaker/microphone extensions to portable radios.</w:t>
            </w:r>
          </w:p>
        </w:tc>
        <w:tc>
          <w:tcPr>
            <w:tcW w:w="1636" w:type="pct"/>
            <w:tcBorders>
              <w:top w:val="nil"/>
              <w:left w:val="nil"/>
              <w:bottom w:val="single" w:sz="4" w:space="0" w:color="auto"/>
              <w:right w:val="single" w:sz="4" w:space="0" w:color="auto"/>
            </w:tcBorders>
            <w:hideMark/>
          </w:tcPr>
          <w:p w14:paraId="511D2890"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Speaker and Microphone Extensions for Portable Radio. Signal Boosters, headsets. Although allowable, the MOHS has not funded this category with past funding. </w:t>
            </w:r>
          </w:p>
        </w:tc>
        <w:tc>
          <w:tcPr>
            <w:tcW w:w="499" w:type="pct"/>
            <w:tcBorders>
              <w:top w:val="nil"/>
              <w:left w:val="nil"/>
              <w:bottom w:val="single" w:sz="4" w:space="0" w:color="auto"/>
              <w:right w:val="single" w:sz="4" w:space="0" w:color="auto"/>
            </w:tcBorders>
            <w:hideMark/>
          </w:tcPr>
          <w:p w14:paraId="66A9F720"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 Years</w:t>
            </w:r>
          </w:p>
        </w:tc>
      </w:tr>
      <w:tr w:rsidR="00ED70BD" w:rsidRPr="00ED70BD" w14:paraId="6028BBF4" w14:textId="77777777" w:rsidTr="00ED70BD">
        <w:trPr>
          <w:trHeight w:val="255"/>
        </w:trPr>
        <w:tc>
          <w:tcPr>
            <w:tcW w:w="530" w:type="pct"/>
            <w:tcBorders>
              <w:top w:val="nil"/>
              <w:left w:val="single" w:sz="4" w:space="0" w:color="auto"/>
              <w:bottom w:val="single" w:sz="4" w:space="0" w:color="auto"/>
              <w:right w:val="single" w:sz="4" w:space="0" w:color="auto"/>
            </w:tcBorders>
            <w:shd w:val="clear" w:color="000000" w:fill="000000"/>
            <w:hideMark/>
          </w:tcPr>
          <w:p w14:paraId="6FADFD1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00D2950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29AAE56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1C2FC0C5"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6F02F97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6E02D9DD"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15BF7BF3"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Power Systems</w:t>
            </w:r>
          </w:p>
        </w:tc>
      </w:tr>
      <w:tr w:rsidR="00ED70BD" w:rsidRPr="00ED70BD" w14:paraId="3253305A"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7E6CE326"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17DBA29A"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3C72B6CD"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5D42E3DE"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5FF9B666"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09D759B3"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2598D80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73A57B7B"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2E7F1B31"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1DF71CF4" w14:textId="77777777" w:rsidTr="00ED70BD">
        <w:trPr>
          <w:trHeight w:val="810"/>
        </w:trPr>
        <w:tc>
          <w:tcPr>
            <w:tcW w:w="530" w:type="pct"/>
            <w:tcBorders>
              <w:top w:val="nil"/>
              <w:left w:val="single" w:sz="4" w:space="0" w:color="auto"/>
              <w:bottom w:val="single" w:sz="4" w:space="0" w:color="auto"/>
              <w:right w:val="single" w:sz="4" w:space="0" w:color="auto"/>
            </w:tcBorders>
            <w:hideMark/>
          </w:tcPr>
          <w:p w14:paraId="6A2C96E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10GE-00-GENR</w:t>
            </w:r>
          </w:p>
        </w:tc>
        <w:tc>
          <w:tcPr>
            <w:tcW w:w="655" w:type="pct"/>
            <w:tcBorders>
              <w:top w:val="nil"/>
              <w:left w:val="nil"/>
              <w:bottom w:val="single" w:sz="4" w:space="0" w:color="auto"/>
              <w:right w:val="single" w:sz="4" w:space="0" w:color="auto"/>
            </w:tcBorders>
            <w:hideMark/>
          </w:tcPr>
          <w:p w14:paraId="4BA64BA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Generators</w:t>
            </w:r>
          </w:p>
        </w:tc>
        <w:tc>
          <w:tcPr>
            <w:tcW w:w="1680" w:type="pct"/>
            <w:tcBorders>
              <w:top w:val="nil"/>
              <w:left w:val="nil"/>
              <w:bottom w:val="single" w:sz="4" w:space="0" w:color="auto"/>
              <w:right w:val="single" w:sz="4" w:space="0" w:color="auto"/>
            </w:tcBorders>
            <w:hideMark/>
          </w:tcPr>
          <w:p w14:paraId="45B010F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Generators (gasoline, diesel, propane, natural gas, etc.) and their required installation materials, including 10PE-00-PTSW (a power switch) if not already included, to support a redundant power supply for security systems, alarms, lighting, and other physical security/cybersecurity infrastructure or systems.</w:t>
            </w:r>
          </w:p>
        </w:tc>
        <w:tc>
          <w:tcPr>
            <w:tcW w:w="1636" w:type="pct"/>
            <w:tcBorders>
              <w:top w:val="nil"/>
              <w:left w:val="nil"/>
              <w:bottom w:val="single" w:sz="4" w:space="0" w:color="auto"/>
              <w:right w:val="single" w:sz="4" w:space="0" w:color="auto"/>
            </w:tcBorders>
            <w:hideMark/>
          </w:tcPr>
          <w:p w14:paraId="0E86C2E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Additional guidance for NSGP: Limited to redundant power supply to support security systems, cybersecurity, or other physical security infrastructure or systems.</w:t>
            </w:r>
          </w:p>
        </w:tc>
        <w:tc>
          <w:tcPr>
            <w:tcW w:w="499" w:type="pct"/>
            <w:tcBorders>
              <w:top w:val="nil"/>
              <w:left w:val="nil"/>
              <w:bottom w:val="single" w:sz="4" w:space="0" w:color="auto"/>
              <w:right w:val="single" w:sz="4" w:space="0" w:color="auto"/>
            </w:tcBorders>
            <w:hideMark/>
          </w:tcPr>
          <w:p w14:paraId="62EFA0C2"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15-25 Years</w:t>
            </w:r>
          </w:p>
        </w:tc>
      </w:tr>
      <w:tr w:rsidR="00ED70BD" w:rsidRPr="00ED70BD" w14:paraId="0108AE73"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2C1E746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10PE-00-UPS</w:t>
            </w:r>
          </w:p>
        </w:tc>
        <w:tc>
          <w:tcPr>
            <w:tcW w:w="655" w:type="pct"/>
            <w:tcBorders>
              <w:top w:val="nil"/>
              <w:left w:val="nil"/>
              <w:bottom w:val="single" w:sz="4" w:space="0" w:color="auto"/>
              <w:right w:val="single" w:sz="4" w:space="0" w:color="auto"/>
            </w:tcBorders>
            <w:hideMark/>
          </w:tcPr>
          <w:p w14:paraId="2763D93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Supply, Uninterruptible</w:t>
            </w:r>
            <w:r w:rsidRPr="00ED70BD">
              <w:rPr>
                <w:rFonts w:ascii="Times New Roman" w:eastAsia="Times New Roman" w:hAnsi="Times New Roman" w:cs="Times New Roman"/>
                <w:color w:val="000000"/>
                <w:kern w:val="0"/>
                <w:sz w:val="20"/>
                <w:szCs w:val="20"/>
                <w14:ligatures w14:val="none"/>
              </w:rPr>
              <w:br/>
              <w:t>Power (UPS)</w:t>
            </w:r>
          </w:p>
        </w:tc>
        <w:tc>
          <w:tcPr>
            <w:tcW w:w="1680" w:type="pct"/>
            <w:tcBorders>
              <w:top w:val="nil"/>
              <w:left w:val="nil"/>
              <w:bottom w:val="single" w:sz="4" w:space="0" w:color="auto"/>
              <w:right w:val="single" w:sz="4" w:space="0" w:color="auto"/>
            </w:tcBorders>
            <w:hideMark/>
          </w:tcPr>
          <w:p w14:paraId="3C904E3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that compensate for power loss to serviced</w:t>
            </w:r>
            <w:r w:rsidRPr="00ED70BD">
              <w:rPr>
                <w:rFonts w:ascii="Times New Roman" w:eastAsia="Times New Roman" w:hAnsi="Times New Roman" w:cs="Times New Roman"/>
                <w:color w:val="000000"/>
                <w:kern w:val="0"/>
                <w:sz w:val="20"/>
                <w:szCs w:val="20"/>
                <w14:ligatures w14:val="none"/>
              </w:rPr>
              <w:br/>
              <w:t>equipment (e.g., short-duration battery devices, standby</w:t>
            </w:r>
            <w:r w:rsidRPr="00ED70BD">
              <w:rPr>
                <w:rFonts w:ascii="Times New Roman" w:eastAsia="Times New Roman" w:hAnsi="Times New Roman" w:cs="Times New Roman"/>
                <w:color w:val="000000"/>
                <w:kern w:val="0"/>
                <w:sz w:val="20"/>
                <w:szCs w:val="20"/>
                <w14:ligatures w14:val="none"/>
              </w:rPr>
              <w:br/>
              <w:t>generator devices for longer duration).</w:t>
            </w:r>
          </w:p>
        </w:tc>
        <w:tc>
          <w:tcPr>
            <w:tcW w:w="1636" w:type="pct"/>
            <w:tcBorders>
              <w:top w:val="nil"/>
              <w:left w:val="nil"/>
              <w:bottom w:val="single" w:sz="4" w:space="0" w:color="auto"/>
              <w:right w:val="single" w:sz="4" w:space="0" w:color="auto"/>
            </w:tcBorders>
            <w:hideMark/>
          </w:tcPr>
          <w:p w14:paraId="0714B7BF"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hideMark/>
          </w:tcPr>
          <w:p w14:paraId="40D9DD39"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5-10 Years</w:t>
            </w:r>
          </w:p>
        </w:tc>
      </w:tr>
      <w:tr w:rsidR="00ED70BD" w:rsidRPr="00ED70BD" w14:paraId="384515B0"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451923FB"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7086227B"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64E5CD3B"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5EFF36B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7FE2BBA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20B682F9" w14:textId="77777777" w:rsidTr="00ED70B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4D5DC0B3"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Terrorism Incident Prevention System</w:t>
            </w:r>
          </w:p>
        </w:tc>
      </w:tr>
      <w:tr w:rsidR="00ED70BD" w:rsidRPr="00ED70BD" w14:paraId="5635F2EC" w14:textId="77777777" w:rsidTr="00ED70B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14CB4C2C"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3928AFCB"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6EB537C0"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0394C285"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68ECE013"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625D373B"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2D1CB5B7"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4173FACF"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19699C10"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1318A6C3"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7CF71E5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13IT-00-ALRT</w:t>
            </w:r>
          </w:p>
        </w:tc>
        <w:tc>
          <w:tcPr>
            <w:tcW w:w="655" w:type="pct"/>
            <w:tcBorders>
              <w:top w:val="nil"/>
              <w:left w:val="nil"/>
              <w:bottom w:val="single" w:sz="4" w:space="0" w:color="auto"/>
              <w:right w:val="single" w:sz="4" w:space="0" w:color="auto"/>
            </w:tcBorders>
            <w:hideMark/>
          </w:tcPr>
          <w:p w14:paraId="2F53C80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w:t>
            </w:r>
            <w:r w:rsidRPr="00ED70BD">
              <w:rPr>
                <w:rFonts w:ascii="Times New Roman" w:eastAsia="Times New Roman" w:hAnsi="Times New Roman" w:cs="Times New Roman"/>
                <w:color w:val="000000"/>
                <w:kern w:val="0"/>
                <w:sz w:val="20"/>
                <w:szCs w:val="20"/>
                <w14:ligatures w14:val="none"/>
              </w:rPr>
              <w:br/>
              <w:t>Alert/Notification</w:t>
            </w:r>
          </w:p>
        </w:tc>
        <w:tc>
          <w:tcPr>
            <w:tcW w:w="1680" w:type="pct"/>
            <w:tcBorders>
              <w:top w:val="nil"/>
              <w:left w:val="nil"/>
              <w:bottom w:val="single" w:sz="4" w:space="0" w:color="auto"/>
              <w:right w:val="single" w:sz="4" w:space="0" w:color="auto"/>
            </w:tcBorders>
            <w:hideMark/>
          </w:tcPr>
          <w:p w14:paraId="3C2D4E8B" w14:textId="3E3E61AD"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Alert/notification software that allows for real-time dissemination of information for situational awareness or alerts among a group via means such as smartphones, landlines, pagers, etc. This item may also be a subscription cloud-based service using a web </w:t>
            </w:r>
            <w:r w:rsidRPr="00ED70BD">
              <w:rPr>
                <w:rFonts w:ascii="Times New Roman" w:eastAsia="Times New Roman" w:hAnsi="Times New Roman" w:cs="Times New Roman"/>
                <w:color w:val="000000"/>
                <w:kern w:val="0"/>
                <w:sz w:val="20"/>
                <w:szCs w:val="20"/>
                <w14:ligatures w14:val="none"/>
              </w:rPr>
              <w:t>browser interface</w:t>
            </w:r>
            <w:r w:rsidRPr="00ED70BD">
              <w:rPr>
                <w:rFonts w:ascii="Times New Roman" w:eastAsia="Times New Roman" w:hAnsi="Times New Roman" w:cs="Times New Roman"/>
                <w:color w:val="000000"/>
                <w:kern w:val="0"/>
                <w:sz w:val="20"/>
                <w:szCs w:val="20"/>
                <w14:ligatures w14:val="none"/>
              </w:rPr>
              <w:t xml:space="preserve"> or a mobile application instead of a software.</w:t>
            </w:r>
          </w:p>
        </w:tc>
        <w:tc>
          <w:tcPr>
            <w:tcW w:w="1636" w:type="pct"/>
            <w:tcBorders>
              <w:top w:val="nil"/>
              <w:left w:val="nil"/>
              <w:bottom w:val="single" w:sz="4" w:space="0" w:color="auto"/>
              <w:right w:val="single" w:sz="4" w:space="0" w:color="auto"/>
            </w:tcBorders>
            <w:hideMark/>
          </w:tcPr>
          <w:p w14:paraId="312B057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Alert or notification systems. Could be cellular phones, pagers, text message devices or cloud services to notify the public.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 </w:t>
            </w:r>
          </w:p>
        </w:tc>
        <w:tc>
          <w:tcPr>
            <w:tcW w:w="499" w:type="pct"/>
            <w:tcBorders>
              <w:top w:val="nil"/>
              <w:left w:val="nil"/>
              <w:bottom w:val="single" w:sz="4" w:space="0" w:color="auto"/>
              <w:right w:val="single" w:sz="4" w:space="0" w:color="auto"/>
            </w:tcBorders>
            <w:hideMark/>
          </w:tcPr>
          <w:p w14:paraId="5A7D46F9" w14:textId="77777777" w:rsidR="00ED70BD" w:rsidRPr="00ED70BD" w:rsidRDefault="00ED70BD" w:rsidP="00ED70BD">
            <w:pPr>
              <w:spacing w:after="0" w:line="240" w:lineRule="auto"/>
              <w:jc w:val="both"/>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10-20 Years</w:t>
            </w:r>
          </w:p>
        </w:tc>
      </w:tr>
      <w:tr w:rsidR="00ED70BD" w:rsidRPr="00ED70BD" w14:paraId="7F18858D" w14:textId="77777777" w:rsidTr="00ED70BD">
        <w:trPr>
          <w:trHeight w:val="195"/>
        </w:trPr>
        <w:tc>
          <w:tcPr>
            <w:tcW w:w="530" w:type="pct"/>
            <w:tcBorders>
              <w:top w:val="nil"/>
              <w:left w:val="single" w:sz="4" w:space="0" w:color="auto"/>
              <w:bottom w:val="single" w:sz="4" w:space="0" w:color="auto"/>
              <w:right w:val="single" w:sz="4" w:space="0" w:color="auto"/>
            </w:tcBorders>
            <w:shd w:val="clear" w:color="000000" w:fill="000000"/>
            <w:hideMark/>
          </w:tcPr>
          <w:p w14:paraId="33C2345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3C5E117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7FD00C37"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6B7196F5"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7FB9344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23C1350A"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6AC85DBE" w14:textId="3B38B60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Physical Security </w:t>
            </w:r>
            <w:r w:rsidRPr="00ED70BD">
              <w:rPr>
                <w:rFonts w:ascii="Times New Roman" w:eastAsia="Times New Roman" w:hAnsi="Times New Roman" w:cs="Times New Roman"/>
                <w:b/>
                <w:bCs/>
                <w:color w:val="000000"/>
                <w:kern w:val="0"/>
                <w14:ligatures w14:val="none"/>
              </w:rPr>
              <w:t>Enhancement Equipment</w:t>
            </w:r>
          </w:p>
        </w:tc>
      </w:tr>
      <w:tr w:rsidR="00ED70BD" w:rsidRPr="00ED70BD" w14:paraId="51567187" w14:textId="77777777" w:rsidTr="00ED70BD">
        <w:trPr>
          <w:trHeight w:val="1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461C9394"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5BB8F54F"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7C4E1CEF"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600987E9" w14:textId="77777777" w:rsidTr="00ED70BD">
        <w:trPr>
          <w:trHeight w:val="255"/>
        </w:trPr>
        <w:tc>
          <w:tcPr>
            <w:tcW w:w="530" w:type="pct"/>
            <w:tcBorders>
              <w:top w:val="nil"/>
              <w:left w:val="single" w:sz="4" w:space="0" w:color="auto"/>
              <w:bottom w:val="single" w:sz="4" w:space="0" w:color="auto"/>
              <w:right w:val="single" w:sz="4" w:space="0" w:color="auto"/>
            </w:tcBorders>
            <w:shd w:val="clear" w:color="000000" w:fill="FFFFFF"/>
            <w:hideMark/>
          </w:tcPr>
          <w:p w14:paraId="61A7B489"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79C5C7A1"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33885FDA"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11D20B7C"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420F4CF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1CBBB4C9" w14:textId="77777777" w:rsidTr="00ED70BD">
        <w:trPr>
          <w:trHeight w:val="800"/>
        </w:trPr>
        <w:tc>
          <w:tcPr>
            <w:tcW w:w="530" w:type="pct"/>
            <w:tcBorders>
              <w:top w:val="nil"/>
              <w:left w:val="single" w:sz="4" w:space="0" w:color="auto"/>
              <w:bottom w:val="single" w:sz="4" w:space="0" w:color="auto"/>
              <w:right w:val="single" w:sz="4" w:space="0" w:color="auto"/>
            </w:tcBorders>
            <w:hideMark/>
          </w:tcPr>
          <w:p w14:paraId="68AFD51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14CI-00-COOP</w:t>
            </w:r>
          </w:p>
        </w:tc>
        <w:tc>
          <w:tcPr>
            <w:tcW w:w="655" w:type="pct"/>
            <w:tcBorders>
              <w:top w:val="nil"/>
              <w:left w:val="nil"/>
              <w:bottom w:val="single" w:sz="4" w:space="0" w:color="auto"/>
              <w:right w:val="single" w:sz="4" w:space="0" w:color="auto"/>
            </w:tcBorders>
            <w:hideMark/>
          </w:tcPr>
          <w:p w14:paraId="3C8F300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 Information Technology Contingency Operations</w:t>
            </w:r>
          </w:p>
        </w:tc>
        <w:tc>
          <w:tcPr>
            <w:tcW w:w="1680" w:type="pct"/>
            <w:tcBorders>
              <w:top w:val="nil"/>
              <w:left w:val="nil"/>
              <w:bottom w:val="single" w:sz="4" w:space="0" w:color="auto"/>
              <w:right w:val="single" w:sz="4" w:space="0" w:color="auto"/>
            </w:tcBorders>
            <w:hideMark/>
          </w:tcPr>
          <w:p w14:paraId="5C32070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Back-up computer hardware, operating systems, data storage, and application software necessary to provide a working environment for contingency operations. May be a purchased as a remote service or a dedicated alternate operating site. </w:t>
            </w:r>
          </w:p>
        </w:tc>
        <w:tc>
          <w:tcPr>
            <w:tcW w:w="1636" w:type="pct"/>
            <w:tcBorders>
              <w:top w:val="nil"/>
              <w:left w:val="nil"/>
              <w:bottom w:val="single" w:sz="4" w:space="0" w:color="auto"/>
              <w:right w:val="single" w:sz="4" w:space="0" w:color="auto"/>
            </w:tcBorders>
            <w:hideMark/>
          </w:tcPr>
          <w:p w14:paraId="0644A83C" w14:textId="56B5A56C"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Backup</w:t>
            </w:r>
            <w:r w:rsidRPr="00ED70BD">
              <w:rPr>
                <w:rFonts w:ascii="Times New Roman" w:eastAsia="Times New Roman" w:hAnsi="Times New Roman" w:cs="Times New Roman"/>
                <w:color w:val="000000"/>
                <w:kern w:val="0"/>
                <w:sz w:val="20"/>
                <w:szCs w:val="20"/>
                <w14:ligatures w14:val="none"/>
              </w:rPr>
              <w:t xml:space="preserve"> Systems and data storage in the event of a </w:t>
            </w:r>
            <w:r w:rsidRPr="00ED70BD">
              <w:rPr>
                <w:rFonts w:ascii="Times New Roman" w:eastAsia="Times New Roman" w:hAnsi="Times New Roman" w:cs="Times New Roman"/>
                <w:color w:val="000000"/>
                <w:kern w:val="0"/>
                <w:sz w:val="20"/>
                <w:szCs w:val="20"/>
                <w14:ligatures w14:val="none"/>
              </w:rPr>
              <w:t>cyber-attack</w:t>
            </w:r>
            <w:r w:rsidRPr="00ED70BD">
              <w:rPr>
                <w:rFonts w:ascii="Times New Roman" w:eastAsia="Times New Roman" w:hAnsi="Times New Roman" w:cs="Times New Roman"/>
                <w:color w:val="000000"/>
                <w:kern w:val="0"/>
                <w:sz w:val="20"/>
                <w:szCs w:val="20"/>
                <w14:ligatures w14:val="none"/>
              </w:rPr>
              <w:t xml:space="preserve"> or terrorist event. Creates a working environment for contingency of operations. Subscription Services are only funded for (1) year and the period of performance for the grant.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w:t>
            </w:r>
            <w:r w:rsidRPr="00ED70BD">
              <w:rPr>
                <w:rFonts w:ascii="Times New Roman" w:eastAsia="Times New Roman" w:hAnsi="Times New Roman" w:cs="Times New Roman"/>
                <w:color w:val="000000"/>
                <w:kern w:val="0"/>
                <w:sz w:val="20"/>
                <w:szCs w:val="20"/>
                <w14:ligatures w14:val="none"/>
              </w:rPr>
              <w:lastRenderedPageBreak/>
              <w:t xml:space="preserve">system would be used. Agency must be able to show how the services will be able to continue without grant funds. </w:t>
            </w:r>
          </w:p>
        </w:tc>
        <w:tc>
          <w:tcPr>
            <w:tcW w:w="499" w:type="pct"/>
            <w:tcBorders>
              <w:top w:val="nil"/>
              <w:left w:val="nil"/>
              <w:bottom w:val="single" w:sz="4" w:space="0" w:color="auto"/>
              <w:right w:val="single" w:sz="4" w:space="0" w:color="auto"/>
            </w:tcBorders>
            <w:hideMark/>
          </w:tcPr>
          <w:p w14:paraId="12F6AF9C"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lastRenderedPageBreak/>
              <w:t>5-10 Years</w:t>
            </w:r>
          </w:p>
        </w:tc>
      </w:tr>
      <w:tr w:rsidR="00ED70BD" w:rsidRPr="00ED70BD" w14:paraId="1173D712"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681356F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14EX-00-BCAN</w:t>
            </w:r>
          </w:p>
        </w:tc>
        <w:tc>
          <w:tcPr>
            <w:tcW w:w="655" w:type="pct"/>
            <w:tcBorders>
              <w:top w:val="nil"/>
              <w:left w:val="nil"/>
              <w:bottom w:val="single" w:sz="4" w:space="0" w:color="auto"/>
              <w:right w:val="single" w:sz="4" w:space="0" w:color="auto"/>
            </w:tcBorders>
            <w:hideMark/>
          </w:tcPr>
          <w:p w14:paraId="48FB1FC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Receptacles, Trash,</w:t>
            </w:r>
            <w:r w:rsidRPr="00ED70BD">
              <w:rPr>
                <w:rFonts w:ascii="Times New Roman" w:eastAsia="Times New Roman" w:hAnsi="Times New Roman" w:cs="Times New Roman"/>
                <w:color w:val="000000"/>
                <w:kern w:val="0"/>
                <w:sz w:val="20"/>
                <w:szCs w:val="20"/>
                <w14:ligatures w14:val="none"/>
              </w:rPr>
              <w:br/>
              <w:t>Blast-Resistant</w:t>
            </w:r>
          </w:p>
        </w:tc>
        <w:tc>
          <w:tcPr>
            <w:tcW w:w="1680" w:type="pct"/>
            <w:tcBorders>
              <w:top w:val="nil"/>
              <w:left w:val="nil"/>
              <w:bottom w:val="single" w:sz="4" w:space="0" w:color="auto"/>
              <w:right w:val="single" w:sz="4" w:space="0" w:color="auto"/>
            </w:tcBorders>
            <w:hideMark/>
          </w:tcPr>
          <w:p w14:paraId="6500343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Blast-resistant trash receptacles</w:t>
            </w:r>
          </w:p>
        </w:tc>
        <w:tc>
          <w:tcPr>
            <w:tcW w:w="1636" w:type="pct"/>
            <w:tcBorders>
              <w:top w:val="nil"/>
              <w:left w:val="nil"/>
              <w:bottom w:val="single" w:sz="4" w:space="0" w:color="auto"/>
              <w:right w:val="single" w:sz="4" w:space="0" w:color="auto"/>
            </w:tcBorders>
            <w:hideMark/>
          </w:tcPr>
          <w:p w14:paraId="53E12BE1"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Trash receptacles that can withstand terrorism blasts. Although allowable, the MOHS has not funded this category with past funding.</w:t>
            </w:r>
          </w:p>
        </w:tc>
        <w:tc>
          <w:tcPr>
            <w:tcW w:w="499" w:type="pct"/>
            <w:tcBorders>
              <w:top w:val="nil"/>
              <w:left w:val="nil"/>
              <w:bottom w:val="single" w:sz="4" w:space="0" w:color="auto"/>
              <w:right w:val="single" w:sz="4" w:space="0" w:color="auto"/>
            </w:tcBorders>
            <w:hideMark/>
          </w:tcPr>
          <w:p w14:paraId="005D2C29"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20 Years</w:t>
            </w:r>
          </w:p>
        </w:tc>
      </w:tr>
      <w:tr w:rsidR="00ED70BD" w:rsidRPr="00ED70BD" w14:paraId="2CC26024"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240E8D8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14EX-00-BSIR</w:t>
            </w:r>
          </w:p>
        </w:tc>
        <w:tc>
          <w:tcPr>
            <w:tcW w:w="655" w:type="pct"/>
            <w:tcBorders>
              <w:top w:val="nil"/>
              <w:left w:val="nil"/>
              <w:bottom w:val="single" w:sz="4" w:space="0" w:color="auto"/>
              <w:right w:val="single" w:sz="4" w:space="0" w:color="auto"/>
            </w:tcBorders>
            <w:hideMark/>
          </w:tcPr>
          <w:p w14:paraId="5D5860E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Building,</w:t>
            </w:r>
            <w:r w:rsidRPr="00ED70BD">
              <w:rPr>
                <w:rFonts w:ascii="Times New Roman" w:eastAsia="Times New Roman" w:hAnsi="Times New Roman" w:cs="Times New Roman"/>
                <w:color w:val="000000"/>
                <w:kern w:val="0"/>
                <w:sz w:val="20"/>
                <w:szCs w:val="20"/>
                <w14:ligatures w14:val="none"/>
              </w:rPr>
              <w:br/>
              <w:t>Blast/Shock/Impact</w:t>
            </w:r>
            <w:r w:rsidRPr="00ED70BD">
              <w:rPr>
                <w:rFonts w:ascii="Times New Roman" w:eastAsia="Times New Roman" w:hAnsi="Times New Roman" w:cs="Times New Roman"/>
                <w:color w:val="000000"/>
                <w:kern w:val="0"/>
                <w:sz w:val="20"/>
                <w:szCs w:val="20"/>
                <w14:ligatures w14:val="none"/>
              </w:rPr>
              <w:br/>
              <w:t>Resistant</w:t>
            </w:r>
          </w:p>
        </w:tc>
        <w:tc>
          <w:tcPr>
            <w:tcW w:w="1680" w:type="pct"/>
            <w:tcBorders>
              <w:top w:val="nil"/>
              <w:left w:val="nil"/>
              <w:bottom w:val="single" w:sz="4" w:space="0" w:color="auto"/>
              <w:right w:val="single" w:sz="4" w:space="0" w:color="auto"/>
            </w:tcBorders>
            <w:hideMark/>
          </w:tcPr>
          <w:p w14:paraId="228A0FF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Systems to mitigate damage from blasts, shocks, or impacts, such as column and surface wraps, wall coverings, portable or fix ballistic boards/barriers, breakage/shatter resistant glass, window wraps/films/velums, etc. </w:t>
            </w:r>
          </w:p>
        </w:tc>
        <w:tc>
          <w:tcPr>
            <w:tcW w:w="1636" w:type="pct"/>
            <w:tcBorders>
              <w:top w:val="nil"/>
              <w:left w:val="nil"/>
              <w:bottom w:val="single" w:sz="4" w:space="0" w:color="auto"/>
              <w:right w:val="single" w:sz="4" w:space="0" w:color="auto"/>
            </w:tcBorders>
            <w:hideMark/>
          </w:tcPr>
          <w:p w14:paraId="2593BB0B"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Column and Surface wraps, Wall coverings, shatter resistant glass, window wraps and shield. Please </w:t>
            </w:r>
            <w:r w:rsidRPr="00ED70BD">
              <w:rPr>
                <w:rFonts w:ascii="Times New Roman" w:eastAsia="Times New Roman" w:hAnsi="Times New Roman" w:cs="Times New Roman"/>
                <w:b/>
                <w:bCs/>
                <w:color w:val="000000"/>
                <w:kern w:val="0"/>
                <w:sz w:val="20"/>
                <w:szCs w:val="20"/>
                <w14:ligatures w14:val="none"/>
              </w:rPr>
              <w:t xml:space="preserve">NOTE: This is not to replace the windows of your organization. </w:t>
            </w:r>
          </w:p>
        </w:tc>
        <w:tc>
          <w:tcPr>
            <w:tcW w:w="499" w:type="pct"/>
            <w:tcBorders>
              <w:top w:val="nil"/>
              <w:left w:val="nil"/>
              <w:bottom w:val="single" w:sz="4" w:space="0" w:color="auto"/>
              <w:right w:val="single" w:sz="4" w:space="0" w:color="auto"/>
            </w:tcBorders>
            <w:hideMark/>
          </w:tcPr>
          <w:p w14:paraId="2F7B6AF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20 Years</w:t>
            </w:r>
          </w:p>
        </w:tc>
      </w:tr>
      <w:tr w:rsidR="00ED70BD" w:rsidRPr="00ED70BD" w14:paraId="48152F09" w14:textId="77777777" w:rsidTr="00ED70BD">
        <w:trPr>
          <w:trHeight w:val="530"/>
        </w:trPr>
        <w:tc>
          <w:tcPr>
            <w:tcW w:w="530" w:type="pct"/>
            <w:tcBorders>
              <w:top w:val="nil"/>
              <w:left w:val="single" w:sz="4" w:space="0" w:color="auto"/>
              <w:bottom w:val="single" w:sz="4" w:space="0" w:color="auto"/>
              <w:right w:val="single" w:sz="4" w:space="0" w:color="auto"/>
            </w:tcBorders>
            <w:hideMark/>
          </w:tcPr>
          <w:p w14:paraId="37EF0E9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14SW-01-ALRM</w:t>
            </w:r>
          </w:p>
        </w:tc>
        <w:tc>
          <w:tcPr>
            <w:tcW w:w="655" w:type="pct"/>
            <w:tcBorders>
              <w:top w:val="nil"/>
              <w:left w:val="nil"/>
              <w:bottom w:val="single" w:sz="4" w:space="0" w:color="auto"/>
              <w:right w:val="single" w:sz="4" w:space="0" w:color="auto"/>
            </w:tcBorders>
            <w:hideMark/>
          </w:tcPr>
          <w:p w14:paraId="690F4B3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Systems/Sensors, Alarm</w:t>
            </w:r>
          </w:p>
        </w:tc>
        <w:tc>
          <w:tcPr>
            <w:tcW w:w="1680" w:type="pct"/>
            <w:tcBorders>
              <w:top w:val="nil"/>
              <w:left w:val="nil"/>
              <w:bottom w:val="single" w:sz="4" w:space="0" w:color="auto"/>
              <w:right w:val="single" w:sz="4" w:space="0" w:color="auto"/>
            </w:tcBorders>
            <w:hideMark/>
          </w:tcPr>
          <w:p w14:paraId="0AC62639" w14:textId="7C686D85"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Systems and standalone sensors </w:t>
            </w:r>
            <w:r w:rsidRPr="00ED70BD">
              <w:rPr>
                <w:rFonts w:ascii="Times New Roman" w:eastAsia="Times New Roman" w:hAnsi="Times New Roman" w:cs="Times New Roman"/>
                <w:color w:val="000000"/>
                <w:kern w:val="0"/>
                <w:sz w:val="20"/>
                <w:szCs w:val="20"/>
                <w14:ligatures w14:val="none"/>
              </w:rPr>
              <w:t>are designed</w:t>
            </w:r>
            <w:r w:rsidRPr="00ED70BD">
              <w:rPr>
                <w:rFonts w:ascii="Times New Roman" w:eastAsia="Times New Roman" w:hAnsi="Times New Roman" w:cs="Times New Roman"/>
                <w:color w:val="000000"/>
                <w:kern w:val="0"/>
                <w:sz w:val="20"/>
                <w:szCs w:val="20"/>
                <w14:ligatures w14:val="none"/>
              </w:rPr>
              <w:t xml:space="preserve"> to detect access violations or intrusions using sensors such as door/window switches, motion sensors, acoustic sensors, seismic sensors, and thermal sensors. May also include temperature sensors for critical areas. </w:t>
            </w:r>
          </w:p>
        </w:tc>
        <w:tc>
          <w:tcPr>
            <w:tcW w:w="1636" w:type="pct"/>
            <w:tcBorders>
              <w:top w:val="nil"/>
              <w:left w:val="nil"/>
              <w:bottom w:val="single" w:sz="4" w:space="0" w:color="auto"/>
              <w:right w:val="single" w:sz="4" w:space="0" w:color="auto"/>
            </w:tcBorders>
            <w:hideMark/>
          </w:tcPr>
          <w:p w14:paraId="6EB521FC" w14:textId="35FA3220"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Alarm systems can include sensors on doors, windows, motion sensors. Hard-wired and wireless systems available. Includes self-monitoring standalone sensors as well as integrated systems. May be integrated into access control system. Remote control and monitoring </w:t>
            </w:r>
            <w:r w:rsidRPr="00ED70BD">
              <w:rPr>
                <w:rFonts w:ascii="Times New Roman" w:eastAsia="Times New Roman" w:hAnsi="Times New Roman" w:cs="Times New Roman"/>
                <w:color w:val="000000"/>
                <w:kern w:val="0"/>
                <w:sz w:val="20"/>
                <w:szCs w:val="20"/>
                <w14:ligatures w14:val="none"/>
              </w:rPr>
              <w:t>are available</w:t>
            </w:r>
            <w:r w:rsidRPr="00ED70BD">
              <w:rPr>
                <w:rFonts w:ascii="Times New Roman" w:eastAsia="Times New Roman" w:hAnsi="Times New Roman" w:cs="Times New Roman"/>
                <w:color w:val="000000"/>
                <w:kern w:val="0"/>
                <w:sz w:val="20"/>
                <w:szCs w:val="20"/>
                <w14:ligatures w14:val="none"/>
              </w:rPr>
              <w:t xml:space="preserve"> via Cloud on smart phones and tablets as well as desktop systems. Subscription Services are only funded for (1) year and the period of performance for the grant.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Agency must be able to show how the services will be able to continue without grant funds. </w:t>
            </w:r>
          </w:p>
        </w:tc>
        <w:tc>
          <w:tcPr>
            <w:tcW w:w="499" w:type="pct"/>
            <w:tcBorders>
              <w:top w:val="nil"/>
              <w:left w:val="nil"/>
              <w:bottom w:val="single" w:sz="4" w:space="0" w:color="auto"/>
              <w:right w:val="single" w:sz="4" w:space="0" w:color="auto"/>
            </w:tcBorders>
            <w:hideMark/>
          </w:tcPr>
          <w:p w14:paraId="35E5B31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10 Years</w:t>
            </w:r>
          </w:p>
        </w:tc>
      </w:tr>
      <w:tr w:rsidR="00ED70BD" w:rsidRPr="00ED70BD" w14:paraId="6D805D81" w14:textId="77777777" w:rsidTr="00ED70BD">
        <w:trPr>
          <w:trHeight w:val="1097"/>
        </w:trPr>
        <w:tc>
          <w:tcPr>
            <w:tcW w:w="530" w:type="pct"/>
            <w:tcBorders>
              <w:top w:val="nil"/>
              <w:left w:val="single" w:sz="4" w:space="0" w:color="auto"/>
              <w:bottom w:val="single" w:sz="4" w:space="0" w:color="auto"/>
              <w:right w:val="single" w:sz="4" w:space="0" w:color="auto"/>
            </w:tcBorders>
            <w:hideMark/>
          </w:tcPr>
          <w:p w14:paraId="6FBA3B6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14SW-01-ASTN</w:t>
            </w:r>
          </w:p>
        </w:tc>
        <w:tc>
          <w:tcPr>
            <w:tcW w:w="655" w:type="pct"/>
            <w:tcBorders>
              <w:top w:val="nil"/>
              <w:left w:val="nil"/>
              <w:bottom w:val="single" w:sz="4" w:space="0" w:color="auto"/>
              <w:right w:val="single" w:sz="4" w:space="0" w:color="auto"/>
            </w:tcBorders>
            <w:hideMark/>
          </w:tcPr>
          <w:p w14:paraId="5685645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Network, Acoustic</w:t>
            </w:r>
            <w:r w:rsidRPr="00ED70BD">
              <w:rPr>
                <w:rFonts w:ascii="Times New Roman" w:eastAsia="Times New Roman" w:hAnsi="Times New Roman" w:cs="Times New Roman"/>
                <w:color w:val="000000"/>
                <w:kern w:val="0"/>
                <w:sz w:val="20"/>
                <w:szCs w:val="20"/>
                <w14:ligatures w14:val="none"/>
              </w:rPr>
              <w:br w:type="page"/>
              <w:t>Sensor Triangulation</w:t>
            </w:r>
          </w:p>
        </w:tc>
        <w:tc>
          <w:tcPr>
            <w:tcW w:w="1680" w:type="pct"/>
            <w:tcBorders>
              <w:top w:val="nil"/>
              <w:left w:val="nil"/>
              <w:bottom w:val="single" w:sz="4" w:space="0" w:color="auto"/>
              <w:right w:val="single" w:sz="4" w:space="0" w:color="auto"/>
            </w:tcBorders>
            <w:hideMark/>
          </w:tcPr>
          <w:p w14:paraId="56671E9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Network of deployed acoustic sensors and one or more processing nodes for data integration and analysis. Such networks can be set to one or more ranges of frequencies to detect sounds such as gunshots, heavy weapons discharge, explosions, man-portable air defense system launches, vehicle noises, etc., and utilize acoustic triangulation to provide accurate location data. Such networks can be wired, wireless, or hybrid, and are capable of operation near critical infrastructure assets or in wide areas. </w:t>
            </w:r>
          </w:p>
        </w:tc>
        <w:tc>
          <w:tcPr>
            <w:tcW w:w="1636" w:type="pct"/>
            <w:tcBorders>
              <w:top w:val="nil"/>
              <w:left w:val="nil"/>
              <w:bottom w:val="single" w:sz="4" w:space="0" w:color="auto"/>
              <w:right w:val="single" w:sz="4" w:space="0" w:color="auto"/>
            </w:tcBorders>
            <w:hideMark/>
          </w:tcPr>
          <w:p w14:paraId="4D0C8D0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hideMark/>
          </w:tcPr>
          <w:p w14:paraId="758AEBAE"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5 Years</w:t>
            </w:r>
          </w:p>
        </w:tc>
      </w:tr>
      <w:tr w:rsidR="00ED70BD" w:rsidRPr="00ED70BD" w14:paraId="09B61F77" w14:textId="77777777" w:rsidTr="00ED70BD">
        <w:trPr>
          <w:trHeight w:val="242"/>
        </w:trPr>
        <w:tc>
          <w:tcPr>
            <w:tcW w:w="530" w:type="pct"/>
            <w:tcBorders>
              <w:top w:val="nil"/>
              <w:left w:val="single" w:sz="4" w:space="0" w:color="auto"/>
              <w:bottom w:val="single" w:sz="4" w:space="0" w:color="auto"/>
              <w:right w:val="single" w:sz="4" w:space="0" w:color="auto"/>
            </w:tcBorders>
            <w:hideMark/>
          </w:tcPr>
          <w:p w14:paraId="70902242"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14SW-01-DOOR</w:t>
            </w:r>
          </w:p>
        </w:tc>
        <w:tc>
          <w:tcPr>
            <w:tcW w:w="655" w:type="pct"/>
            <w:tcBorders>
              <w:top w:val="nil"/>
              <w:left w:val="nil"/>
              <w:bottom w:val="single" w:sz="4" w:space="0" w:color="auto"/>
              <w:right w:val="single" w:sz="4" w:space="0" w:color="auto"/>
            </w:tcBorders>
            <w:hideMark/>
          </w:tcPr>
          <w:p w14:paraId="647F3CA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Doors and Gates, Impact Resistant</w:t>
            </w:r>
          </w:p>
        </w:tc>
        <w:tc>
          <w:tcPr>
            <w:tcW w:w="1680" w:type="pct"/>
            <w:tcBorders>
              <w:top w:val="nil"/>
              <w:left w:val="nil"/>
              <w:bottom w:val="single" w:sz="4" w:space="0" w:color="auto"/>
              <w:right w:val="single" w:sz="4" w:space="0" w:color="auto"/>
            </w:tcBorders>
            <w:hideMark/>
          </w:tcPr>
          <w:p w14:paraId="0047BF0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Reinforced doors and gates with increased resistance to</w:t>
            </w:r>
            <w:r w:rsidRPr="00ED70BD">
              <w:rPr>
                <w:rFonts w:ascii="Times New Roman" w:eastAsia="Times New Roman" w:hAnsi="Times New Roman" w:cs="Times New Roman"/>
                <w:color w:val="000000"/>
                <w:kern w:val="0"/>
                <w:sz w:val="20"/>
                <w:szCs w:val="20"/>
                <w14:ligatures w14:val="none"/>
              </w:rPr>
              <w:br/>
              <w:t>external impact for increased physical security</w:t>
            </w:r>
          </w:p>
        </w:tc>
        <w:tc>
          <w:tcPr>
            <w:tcW w:w="1636" w:type="pct"/>
            <w:tcBorders>
              <w:top w:val="nil"/>
              <w:left w:val="nil"/>
              <w:bottom w:val="single" w:sz="4" w:space="0" w:color="auto"/>
              <w:right w:val="single" w:sz="4" w:space="0" w:color="auto"/>
            </w:tcBorders>
            <w:hideMark/>
          </w:tcPr>
          <w:p w14:paraId="5B78EF0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Reinforced Doors and Gates. Please NOTE: This is not to replace the doors and gates of your whole organization. Doors and Gates should be purchased only in areas that will need increased resistance and increased physical security. </w:t>
            </w:r>
          </w:p>
        </w:tc>
        <w:tc>
          <w:tcPr>
            <w:tcW w:w="499" w:type="pct"/>
            <w:tcBorders>
              <w:top w:val="nil"/>
              <w:left w:val="nil"/>
              <w:bottom w:val="single" w:sz="4" w:space="0" w:color="auto"/>
              <w:right w:val="single" w:sz="4" w:space="0" w:color="auto"/>
            </w:tcBorders>
            <w:hideMark/>
          </w:tcPr>
          <w:p w14:paraId="49778856"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sz w:val="20"/>
                <w:szCs w:val="20"/>
                <w14:ligatures w14:val="none"/>
              </w:rPr>
              <w:t>Doors-30-45 Years; Gates-15-25 Years</w:t>
            </w:r>
          </w:p>
        </w:tc>
      </w:tr>
      <w:tr w:rsidR="00ED70BD" w:rsidRPr="00ED70BD" w14:paraId="0D926BB7" w14:textId="77777777" w:rsidTr="00ED70BD">
        <w:trPr>
          <w:trHeight w:val="323"/>
        </w:trPr>
        <w:tc>
          <w:tcPr>
            <w:tcW w:w="530" w:type="pct"/>
            <w:tcBorders>
              <w:top w:val="nil"/>
              <w:left w:val="single" w:sz="4" w:space="0" w:color="auto"/>
              <w:bottom w:val="single" w:sz="4" w:space="0" w:color="auto"/>
              <w:right w:val="single" w:sz="4" w:space="0" w:color="auto"/>
            </w:tcBorders>
            <w:hideMark/>
          </w:tcPr>
          <w:p w14:paraId="2AE1D20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14SW-01-LITE</w:t>
            </w:r>
          </w:p>
        </w:tc>
        <w:tc>
          <w:tcPr>
            <w:tcW w:w="655" w:type="pct"/>
            <w:tcBorders>
              <w:top w:val="nil"/>
              <w:left w:val="nil"/>
              <w:bottom w:val="single" w:sz="4" w:space="0" w:color="auto"/>
              <w:right w:val="single" w:sz="4" w:space="0" w:color="auto"/>
            </w:tcBorders>
            <w:hideMark/>
          </w:tcPr>
          <w:p w14:paraId="3442259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Lighting, Area, Fixed</w:t>
            </w:r>
          </w:p>
        </w:tc>
        <w:tc>
          <w:tcPr>
            <w:tcW w:w="1680" w:type="pct"/>
            <w:tcBorders>
              <w:top w:val="nil"/>
              <w:left w:val="nil"/>
              <w:bottom w:val="single" w:sz="4" w:space="0" w:color="auto"/>
              <w:right w:val="single" w:sz="4" w:space="0" w:color="auto"/>
            </w:tcBorders>
            <w:hideMark/>
          </w:tcPr>
          <w:p w14:paraId="68A7DDCD"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Fixed high-intensity lighting systems for improved visibility in areas such as building perimeters, parking lots, and other critical zones to increase physical security. </w:t>
            </w:r>
          </w:p>
        </w:tc>
        <w:tc>
          <w:tcPr>
            <w:tcW w:w="1636" w:type="pct"/>
            <w:tcBorders>
              <w:top w:val="nil"/>
              <w:left w:val="nil"/>
              <w:bottom w:val="single" w:sz="4" w:space="0" w:color="auto"/>
              <w:right w:val="single" w:sz="4" w:space="0" w:color="auto"/>
            </w:tcBorders>
            <w:hideMark/>
          </w:tcPr>
          <w:p w14:paraId="0AF4EF2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Lighting for potential areas in need of high visibility. Wall or pole mounted. Motion detection lighting. Please NOTE: This is not to replace the current lighting for your organization. Lighting should be purchased only in areas that will need increased visibility and increased physical security.</w:t>
            </w:r>
          </w:p>
        </w:tc>
        <w:tc>
          <w:tcPr>
            <w:tcW w:w="499" w:type="pct"/>
            <w:tcBorders>
              <w:top w:val="nil"/>
              <w:left w:val="nil"/>
              <w:bottom w:val="single" w:sz="4" w:space="0" w:color="auto"/>
              <w:right w:val="single" w:sz="4" w:space="0" w:color="auto"/>
            </w:tcBorders>
            <w:hideMark/>
          </w:tcPr>
          <w:p w14:paraId="71881B7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15 Years</w:t>
            </w:r>
          </w:p>
        </w:tc>
      </w:tr>
      <w:tr w:rsidR="00ED70BD" w:rsidRPr="00ED70BD" w14:paraId="22DAAEFB" w14:textId="77777777" w:rsidTr="00ED70BD">
        <w:trPr>
          <w:trHeight w:val="70"/>
        </w:trPr>
        <w:tc>
          <w:tcPr>
            <w:tcW w:w="530" w:type="pct"/>
            <w:tcBorders>
              <w:top w:val="nil"/>
              <w:left w:val="single" w:sz="4" w:space="0" w:color="auto"/>
              <w:bottom w:val="single" w:sz="4" w:space="0" w:color="auto"/>
              <w:right w:val="single" w:sz="4" w:space="0" w:color="auto"/>
            </w:tcBorders>
            <w:hideMark/>
          </w:tcPr>
          <w:p w14:paraId="453B0A0C"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14SW-01-PACS</w:t>
            </w:r>
          </w:p>
        </w:tc>
        <w:tc>
          <w:tcPr>
            <w:tcW w:w="655" w:type="pct"/>
            <w:tcBorders>
              <w:top w:val="nil"/>
              <w:left w:val="nil"/>
              <w:bottom w:val="single" w:sz="4" w:space="0" w:color="auto"/>
              <w:right w:val="single" w:sz="4" w:space="0" w:color="auto"/>
            </w:tcBorders>
            <w:hideMark/>
          </w:tcPr>
          <w:p w14:paraId="04FD3B8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System, Physical Access Control </w:t>
            </w:r>
          </w:p>
        </w:tc>
        <w:tc>
          <w:tcPr>
            <w:tcW w:w="1680" w:type="pct"/>
            <w:tcBorders>
              <w:top w:val="nil"/>
              <w:left w:val="nil"/>
              <w:bottom w:val="single" w:sz="4" w:space="0" w:color="auto"/>
              <w:right w:val="single" w:sz="4" w:space="0" w:color="auto"/>
            </w:tcBorders>
            <w:hideMark/>
          </w:tcPr>
          <w:p w14:paraId="01E1D40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Locking devices and entry systems for control of physical access to facilities.</w:t>
            </w:r>
          </w:p>
        </w:tc>
        <w:tc>
          <w:tcPr>
            <w:tcW w:w="1636" w:type="pct"/>
            <w:tcBorders>
              <w:top w:val="nil"/>
              <w:left w:val="nil"/>
              <w:bottom w:val="single" w:sz="4" w:space="0" w:color="auto"/>
              <w:right w:val="single" w:sz="4" w:space="0" w:color="auto"/>
            </w:tcBorders>
            <w:hideMark/>
          </w:tcPr>
          <w:p w14:paraId="4F90FC65"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Locking devices and entry systems. Please NOTE: This is not doors or doorways. Access controls are the access </w:t>
            </w:r>
            <w:r w:rsidRPr="00ED70BD">
              <w:rPr>
                <w:rFonts w:ascii="Times New Roman" w:eastAsia="Times New Roman" w:hAnsi="Times New Roman" w:cs="Times New Roman"/>
                <w:color w:val="000000"/>
                <w:kern w:val="0"/>
                <w:sz w:val="20"/>
                <w:szCs w:val="20"/>
                <w14:ligatures w14:val="none"/>
              </w:rPr>
              <w:lastRenderedPageBreak/>
              <w:t xml:space="preserve">points to an area. This is not to be used for every door in your organization, only in areas for protection. </w:t>
            </w:r>
          </w:p>
        </w:tc>
        <w:tc>
          <w:tcPr>
            <w:tcW w:w="499" w:type="pct"/>
            <w:tcBorders>
              <w:top w:val="nil"/>
              <w:left w:val="nil"/>
              <w:bottom w:val="single" w:sz="4" w:space="0" w:color="auto"/>
              <w:right w:val="single" w:sz="4" w:space="0" w:color="auto"/>
            </w:tcBorders>
            <w:hideMark/>
          </w:tcPr>
          <w:p w14:paraId="082F8A5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lastRenderedPageBreak/>
              <w:t>5 Years</w:t>
            </w:r>
          </w:p>
        </w:tc>
      </w:tr>
      <w:tr w:rsidR="00ED70BD" w:rsidRPr="00ED70BD" w14:paraId="6052FE22" w14:textId="77777777" w:rsidTr="00ED70BD">
        <w:trPr>
          <w:trHeight w:val="332"/>
        </w:trPr>
        <w:tc>
          <w:tcPr>
            <w:tcW w:w="530" w:type="pct"/>
            <w:tcBorders>
              <w:top w:val="nil"/>
              <w:left w:val="single" w:sz="4" w:space="0" w:color="auto"/>
              <w:bottom w:val="single" w:sz="4" w:space="0" w:color="auto"/>
              <w:right w:val="single" w:sz="4" w:space="0" w:color="auto"/>
            </w:tcBorders>
            <w:hideMark/>
          </w:tcPr>
          <w:p w14:paraId="3A778D5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14SW-01-SIDP</w:t>
            </w:r>
          </w:p>
        </w:tc>
        <w:tc>
          <w:tcPr>
            <w:tcW w:w="655" w:type="pct"/>
            <w:tcBorders>
              <w:top w:val="nil"/>
              <w:left w:val="nil"/>
              <w:bottom w:val="single" w:sz="4" w:space="0" w:color="auto"/>
              <w:right w:val="single" w:sz="4" w:space="0" w:color="auto"/>
            </w:tcBorders>
            <w:hideMark/>
          </w:tcPr>
          <w:p w14:paraId="1775A78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Personnel Identification</w:t>
            </w:r>
          </w:p>
        </w:tc>
        <w:tc>
          <w:tcPr>
            <w:tcW w:w="1680" w:type="pct"/>
            <w:tcBorders>
              <w:top w:val="nil"/>
              <w:left w:val="nil"/>
              <w:bottom w:val="single" w:sz="4" w:space="0" w:color="auto"/>
              <w:right w:val="single" w:sz="4" w:space="0" w:color="auto"/>
            </w:tcBorders>
            <w:hideMark/>
          </w:tcPr>
          <w:p w14:paraId="17A9DCD6"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for positive identification of personnel as a prerequisite for entering restricted areas or accessing information systems. This functionality may also be obtainable via subscription as a cloud-based service using a web browser interface or a mobile app, as opposed to purchasing software.  However, special security considerations apply for data stored remotely.</w:t>
            </w:r>
          </w:p>
        </w:tc>
        <w:tc>
          <w:tcPr>
            <w:tcW w:w="1636" w:type="pct"/>
            <w:tcBorders>
              <w:top w:val="nil"/>
              <w:left w:val="nil"/>
              <w:bottom w:val="single" w:sz="4" w:space="0" w:color="auto"/>
              <w:right w:val="single" w:sz="4" w:space="0" w:color="auto"/>
            </w:tcBorders>
            <w:hideMark/>
          </w:tcPr>
          <w:p w14:paraId="6A89C6F2" w14:textId="2DC18D2A"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Personnel identification systems are designed and installed for the primary purpose of ensuring that only authorized </w:t>
            </w:r>
            <w:r w:rsidRPr="00ED70BD">
              <w:rPr>
                <w:rFonts w:ascii="Times New Roman" w:eastAsia="Times New Roman" w:hAnsi="Times New Roman" w:cs="Times New Roman"/>
                <w:color w:val="000000"/>
                <w:kern w:val="0"/>
                <w:sz w:val="20"/>
                <w:szCs w:val="20"/>
                <w14:ligatures w14:val="none"/>
              </w:rPr>
              <w:t>people</w:t>
            </w:r>
            <w:r w:rsidRPr="00ED70BD">
              <w:rPr>
                <w:rFonts w:ascii="Times New Roman" w:eastAsia="Times New Roman" w:hAnsi="Times New Roman" w:cs="Times New Roman"/>
                <w:color w:val="000000"/>
                <w:kern w:val="0"/>
                <w:sz w:val="20"/>
                <w:szCs w:val="20"/>
                <w14:ligatures w14:val="none"/>
              </w:rPr>
              <w:t xml:space="preserve"> are allowed access to secure areas of a facility. Identification system to enter a building. Ex. Access Card; Pin Number or Fingerprint. Subscription Services are only funded for (1) year and the period of performance for the grant. </w:t>
            </w:r>
          </w:p>
        </w:tc>
        <w:tc>
          <w:tcPr>
            <w:tcW w:w="499" w:type="pct"/>
            <w:tcBorders>
              <w:top w:val="nil"/>
              <w:left w:val="nil"/>
              <w:bottom w:val="single" w:sz="4" w:space="0" w:color="auto"/>
              <w:right w:val="single" w:sz="4" w:space="0" w:color="auto"/>
            </w:tcBorders>
            <w:hideMark/>
          </w:tcPr>
          <w:p w14:paraId="42A21D83"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14:ligatures w14:val="none"/>
              </w:rPr>
              <w:t>5 Years</w:t>
            </w:r>
          </w:p>
        </w:tc>
      </w:tr>
      <w:tr w:rsidR="00ED70BD" w:rsidRPr="00ED70BD" w14:paraId="1D2B1A38" w14:textId="77777777" w:rsidTr="00ED70BD">
        <w:trPr>
          <w:trHeight w:val="980"/>
        </w:trPr>
        <w:tc>
          <w:tcPr>
            <w:tcW w:w="530" w:type="pct"/>
            <w:tcBorders>
              <w:top w:val="nil"/>
              <w:left w:val="single" w:sz="4" w:space="0" w:color="auto"/>
              <w:bottom w:val="single" w:sz="4" w:space="0" w:color="auto"/>
              <w:right w:val="single" w:sz="4" w:space="0" w:color="auto"/>
            </w:tcBorders>
            <w:hideMark/>
          </w:tcPr>
          <w:p w14:paraId="6AEC4C7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14SW-01-SIDV</w:t>
            </w:r>
          </w:p>
        </w:tc>
        <w:tc>
          <w:tcPr>
            <w:tcW w:w="655" w:type="pct"/>
            <w:tcBorders>
              <w:top w:val="nil"/>
              <w:left w:val="nil"/>
              <w:bottom w:val="single" w:sz="4" w:space="0" w:color="auto"/>
              <w:right w:val="single" w:sz="4" w:space="0" w:color="auto"/>
            </w:tcBorders>
            <w:hideMark/>
          </w:tcPr>
          <w:p w14:paraId="063F7E6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Vehicle</w:t>
            </w:r>
            <w:r w:rsidRPr="00ED70BD">
              <w:rPr>
                <w:rFonts w:ascii="Times New Roman" w:eastAsia="Times New Roman" w:hAnsi="Times New Roman" w:cs="Times New Roman"/>
                <w:color w:val="000000"/>
                <w:kern w:val="0"/>
                <w:sz w:val="20"/>
                <w:szCs w:val="20"/>
                <w14:ligatures w14:val="none"/>
              </w:rPr>
              <w:br/>
              <w:t>Identification</w:t>
            </w:r>
          </w:p>
        </w:tc>
        <w:tc>
          <w:tcPr>
            <w:tcW w:w="1680" w:type="pct"/>
            <w:tcBorders>
              <w:top w:val="nil"/>
              <w:left w:val="nil"/>
              <w:bottom w:val="single" w:sz="4" w:space="0" w:color="auto"/>
              <w:right w:val="single" w:sz="4" w:space="0" w:color="auto"/>
            </w:tcBorders>
            <w:hideMark/>
          </w:tcPr>
          <w:p w14:paraId="4CE1F0C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for identification of vehicles, ranging from decals to radio frequency identification or other transponder devices. (License plate reader and facial recognition software are NOT allowed.)</w:t>
            </w:r>
          </w:p>
        </w:tc>
        <w:tc>
          <w:tcPr>
            <w:tcW w:w="1636" w:type="pct"/>
            <w:tcBorders>
              <w:top w:val="nil"/>
              <w:left w:val="nil"/>
              <w:bottom w:val="single" w:sz="4" w:space="0" w:color="auto"/>
              <w:right w:val="single" w:sz="4" w:space="0" w:color="auto"/>
            </w:tcBorders>
            <w:hideMark/>
          </w:tcPr>
          <w:p w14:paraId="12DF6361"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Identification and Tracking System of Vehicles. Although allowable, the MOHS has not funded this category with past funding. </w:t>
            </w:r>
            <w:proofErr w:type="gramStart"/>
            <w:r w:rsidRPr="00ED70BD">
              <w:rPr>
                <w:rFonts w:ascii="Times New Roman" w:eastAsia="Times New Roman" w:hAnsi="Times New Roman" w:cs="Times New Roman"/>
                <w:color w:val="000000"/>
                <w:kern w:val="0"/>
                <w:sz w:val="20"/>
                <w:szCs w:val="20"/>
                <w14:ligatures w14:val="none"/>
              </w:rPr>
              <w:t>Must</w:t>
            </w:r>
            <w:proofErr w:type="gramEnd"/>
            <w:r w:rsidRPr="00ED70BD">
              <w:rPr>
                <w:rFonts w:ascii="Times New Roman" w:eastAsia="Times New Roman" w:hAnsi="Times New Roman" w:cs="Times New Roman"/>
                <w:color w:val="000000"/>
                <w:kern w:val="0"/>
                <w:sz w:val="20"/>
                <w:szCs w:val="20"/>
                <w14:ligatures w14:val="none"/>
              </w:rPr>
              <w:t xml:space="preserve"> provide justification as to WHY this is essential for your organization and how system would be used. Services are only purchased for (1) year and the period of performance for the grant. Agency must be able to show how the services will be able to continue without grant funds.</w:t>
            </w:r>
          </w:p>
        </w:tc>
        <w:tc>
          <w:tcPr>
            <w:tcW w:w="499" w:type="pct"/>
            <w:tcBorders>
              <w:top w:val="nil"/>
              <w:left w:val="nil"/>
              <w:bottom w:val="single" w:sz="4" w:space="0" w:color="auto"/>
              <w:right w:val="single" w:sz="4" w:space="0" w:color="auto"/>
            </w:tcBorders>
            <w:hideMark/>
          </w:tcPr>
          <w:p w14:paraId="1EF44C98"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14:ligatures w14:val="none"/>
              </w:rPr>
              <w:t>5 Years</w:t>
            </w:r>
          </w:p>
        </w:tc>
      </w:tr>
      <w:tr w:rsidR="00ED70BD" w:rsidRPr="00ED70BD" w14:paraId="42C226E3" w14:textId="77777777" w:rsidTr="00ED70BD">
        <w:trPr>
          <w:trHeight w:val="638"/>
        </w:trPr>
        <w:tc>
          <w:tcPr>
            <w:tcW w:w="530" w:type="pct"/>
            <w:tcBorders>
              <w:top w:val="nil"/>
              <w:left w:val="single" w:sz="4" w:space="0" w:color="auto"/>
              <w:bottom w:val="single" w:sz="4" w:space="0" w:color="auto"/>
              <w:right w:val="single" w:sz="4" w:space="0" w:color="auto"/>
            </w:tcBorders>
            <w:hideMark/>
          </w:tcPr>
          <w:p w14:paraId="1999964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14SW-01-SNSR</w:t>
            </w:r>
          </w:p>
        </w:tc>
        <w:tc>
          <w:tcPr>
            <w:tcW w:w="655" w:type="pct"/>
            <w:tcBorders>
              <w:top w:val="nil"/>
              <w:left w:val="nil"/>
              <w:bottom w:val="single" w:sz="4" w:space="0" w:color="auto"/>
              <w:right w:val="single" w:sz="4" w:space="0" w:color="auto"/>
            </w:tcBorders>
            <w:hideMark/>
          </w:tcPr>
          <w:p w14:paraId="3426397E" w14:textId="2D08E243"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Sensors/Alarms, System and Infrastructure Monitoring, </w:t>
            </w:r>
            <w:r>
              <w:rPr>
                <w:rFonts w:ascii="Times New Roman" w:eastAsia="Times New Roman" w:hAnsi="Times New Roman" w:cs="Times New Roman"/>
                <w:color w:val="000000"/>
                <w:kern w:val="0"/>
                <w:sz w:val="20"/>
                <w:szCs w:val="20"/>
                <w14:ligatures w14:val="none"/>
              </w:rPr>
              <w:t>s</w:t>
            </w:r>
            <w:r w:rsidRPr="00ED70BD">
              <w:rPr>
                <w:rFonts w:ascii="Times New Roman" w:eastAsia="Times New Roman" w:hAnsi="Times New Roman" w:cs="Times New Roman"/>
                <w:color w:val="000000"/>
                <w:kern w:val="0"/>
                <w:sz w:val="20"/>
                <w:szCs w:val="20"/>
                <w14:ligatures w14:val="none"/>
              </w:rPr>
              <w:t>tandalone</w:t>
            </w:r>
          </w:p>
        </w:tc>
        <w:tc>
          <w:tcPr>
            <w:tcW w:w="1680" w:type="pct"/>
            <w:tcBorders>
              <w:top w:val="nil"/>
              <w:left w:val="nil"/>
              <w:bottom w:val="single" w:sz="4" w:space="0" w:color="auto"/>
              <w:right w:val="single" w:sz="4" w:space="0" w:color="auto"/>
            </w:tcBorders>
            <w:hideMark/>
          </w:tcPr>
          <w:p w14:paraId="3978769C" w14:textId="5FC28B62"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Standalone sensors/alarms for use on critical systems or infrastructure items (e.g., security systems, power supplies, etc.) </w:t>
            </w:r>
            <w:r w:rsidRPr="00ED70BD">
              <w:rPr>
                <w:rFonts w:ascii="Times New Roman" w:eastAsia="Times New Roman" w:hAnsi="Times New Roman" w:cs="Times New Roman"/>
                <w:color w:val="000000"/>
                <w:kern w:val="0"/>
                <w:sz w:val="20"/>
                <w:szCs w:val="20"/>
                <w14:ligatures w14:val="none"/>
              </w:rPr>
              <w:t>provide</w:t>
            </w:r>
            <w:r w:rsidRPr="00ED70BD">
              <w:rPr>
                <w:rFonts w:ascii="Times New Roman" w:eastAsia="Times New Roman" w:hAnsi="Times New Roman" w:cs="Times New Roman"/>
                <w:color w:val="000000"/>
                <w:kern w:val="0"/>
                <w:sz w:val="20"/>
                <w:szCs w:val="20"/>
                <w14:ligatures w14:val="none"/>
              </w:rPr>
              <w:t xml:space="preserve"> warning when these systems fail or are near failure.</w:t>
            </w:r>
          </w:p>
        </w:tc>
        <w:tc>
          <w:tcPr>
            <w:tcW w:w="1636" w:type="pct"/>
            <w:tcBorders>
              <w:top w:val="nil"/>
              <w:left w:val="nil"/>
              <w:bottom w:val="single" w:sz="4" w:space="0" w:color="auto"/>
              <w:right w:val="single" w:sz="4" w:space="0" w:color="auto"/>
            </w:tcBorders>
            <w:hideMark/>
          </w:tcPr>
          <w:p w14:paraId="5D6AFE5C"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Grantees should leverage private assets where appropriate when implementing security enhancements at privately-owned critical infrastructure facilities.</w:t>
            </w:r>
          </w:p>
        </w:tc>
        <w:tc>
          <w:tcPr>
            <w:tcW w:w="499" w:type="pct"/>
            <w:tcBorders>
              <w:top w:val="nil"/>
              <w:left w:val="nil"/>
              <w:bottom w:val="single" w:sz="4" w:space="0" w:color="auto"/>
              <w:right w:val="single" w:sz="4" w:space="0" w:color="auto"/>
            </w:tcBorders>
            <w:hideMark/>
          </w:tcPr>
          <w:p w14:paraId="6CACF865"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14:ligatures w14:val="none"/>
              </w:rPr>
              <w:t>10 Years</w:t>
            </w:r>
          </w:p>
        </w:tc>
      </w:tr>
      <w:tr w:rsidR="00ED70BD" w:rsidRPr="00ED70BD" w14:paraId="36F96F5F" w14:textId="77777777" w:rsidTr="00ED70BD">
        <w:trPr>
          <w:trHeight w:val="188"/>
        </w:trPr>
        <w:tc>
          <w:tcPr>
            <w:tcW w:w="530" w:type="pct"/>
            <w:tcBorders>
              <w:top w:val="nil"/>
              <w:left w:val="single" w:sz="4" w:space="0" w:color="auto"/>
              <w:bottom w:val="single" w:sz="4" w:space="0" w:color="auto"/>
              <w:right w:val="single" w:sz="4" w:space="0" w:color="auto"/>
            </w:tcBorders>
            <w:hideMark/>
          </w:tcPr>
          <w:p w14:paraId="2D5AB765"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14SW-01-VIDA</w:t>
            </w:r>
          </w:p>
        </w:tc>
        <w:tc>
          <w:tcPr>
            <w:tcW w:w="655" w:type="pct"/>
            <w:tcBorders>
              <w:top w:val="nil"/>
              <w:left w:val="nil"/>
              <w:bottom w:val="single" w:sz="4" w:space="0" w:color="auto"/>
              <w:right w:val="single" w:sz="4" w:space="0" w:color="auto"/>
            </w:tcBorders>
            <w:hideMark/>
          </w:tcPr>
          <w:p w14:paraId="0C3A6AD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Video Assessment, Security</w:t>
            </w:r>
          </w:p>
        </w:tc>
        <w:tc>
          <w:tcPr>
            <w:tcW w:w="1680" w:type="pct"/>
            <w:tcBorders>
              <w:top w:val="nil"/>
              <w:left w:val="nil"/>
              <w:bottom w:val="single" w:sz="4" w:space="0" w:color="auto"/>
              <w:right w:val="single" w:sz="4" w:space="0" w:color="auto"/>
            </w:tcBorders>
            <w:hideMark/>
          </w:tcPr>
          <w:p w14:paraId="3822A3EF"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Camera-based security systems utilizing standard, low light, or infrared technology.</w:t>
            </w:r>
          </w:p>
        </w:tc>
        <w:tc>
          <w:tcPr>
            <w:tcW w:w="1636" w:type="pct"/>
            <w:tcBorders>
              <w:top w:val="nil"/>
              <w:left w:val="nil"/>
              <w:bottom w:val="single" w:sz="4" w:space="0" w:color="auto"/>
              <w:right w:val="single" w:sz="4" w:space="0" w:color="auto"/>
            </w:tcBorders>
            <w:hideMark/>
          </w:tcPr>
          <w:p w14:paraId="23F7E723"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Additional guidance for NSGP: License plate reader and facial recognition systems are not allowed, but systems to detect weapons through video analysis are allowed.</w:t>
            </w:r>
          </w:p>
        </w:tc>
        <w:tc>
          <w:tcPr>
            <w:tcW w:w="499" w:type="pct"/>
            <w:tcBorders>
              <w:top w:val="nil"/>
              <w:left w:val="nil"/>
              <w:bottom w:val="single" w:sz="4" w:space="0" w:color="auto"/>
              <w:right w:val="single" w:sz="4" w:space="0" w:color="auto"/>
            </w:tcBorders>
            <w:hideMark/>
          </w:tcPr>
          <w:p w14:paraId="786ADEFC"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14:ligatures w14:val="none"/>
              </w:rPr>
              <w:t>15-20 Years</w:t>
            </w:r>
          </w:p>
        </w:tc>
      </w:tr>
      <w:tr w:rsidR="00ED70BD" w:rsidRPr="00ED70BD" w14:paraId="40BB2D78" w14:textId="77777777" w:rsidTr="00ED70BD">
        <w:trPr>
          <w:trHeight w:val="555"/>
        </w:trPr>
        <w:tc>
          <w:tcPr>
            <w:tcW w:w="530" w:type="pct"/>
            <w:tcBorders>
              <w:top w:val="nil"/>
              <w:left w:val="single" w:sz="4" w:space="0" w:color="auto"/>
              <w:bottom w:val="single" w:sz="4" w:space="0" w:color="auto"/>
              <w:right w:val="single" w:sz="4" w:space="0" w:color="auto"/>
            </w:tcBorders>
            <w:hideMark/>
          </w:tcPr>
          <w:p w14:paraId="1A3252E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14SW-01-WALL</w:t>
            </w:r>
          </w:p>
        </w:tc>
        <w:tc>
          <w:tcPr>
            <w:tcW w:w="655" w:type="pct"/>
            <w:tcBorders>
              <w:top w:val="nil"/>
              <w:left w:val="nil"/>
              <w:bottom w:val="single" w:sz="4" w:space="0" w:color="auto"/>
              <w:right w:val="single" w:sz="4" w:space="0" w:color="auto"/>
            </w:tcBorders>
            <w:hideMark/>
          </w:tcPr>
          <w:p w14:paraId="17A21A2B"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Barriers: Fences; Jersey</w:t>
            </w:r>
            <w:r w:rsidRPr="00ED70BD">
              <w:rPr>
                <w:rFonts w:ascii="Times New Roman" w:eastAsia="Times New Roman" w:hAnsi="Times New Roman" w:cs="Times New Roman"/>
                <w:color w:val="000000"/>
                <w:kern w:val="0"/>
                <w:sz w:val="20"/>
                <w:szCs w:val="20"/>
                <w14:ligatures w14:val="none"/>
              </w:rPr>
              <w:br/>
              <w:t>Walls</w:t>
            </w:r>
          </w:p>
        </w:tc>
        <w:tc>
          <w:tcPr>
            <w:tcW w:w="1680" w:type="pct"/>
            <w:tcBorders>
              <w:top w:val="nil"/>
              <w:left w:val="nil"/>
              <w:bottom w:val="single" w:sz="4" w:space="0" w:color="auto"/>
              <w:right w:val="single" w:sz="4" w:space="0" w:color="auto"/>
            </w:tcBorders>
            <w:hideMark/>
          </w:tcPr>
          <w:p w14:paraId="40D29F57" w14:textId="65B9223E"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Obstacles designed to channel or halt pedestrian or </w:t>
            </w:r>
            <w:r w:rsidRPr="00ED70BD">
              <w:rPr>
                <w:rFonts w:ascii="Times New Roman" w:eastAsia="Times New Roman" w:hAnsi="Times New Roman" w:cs="Times New Roman"/>
                <w:color w:val="000000"/>
                <w:kern w:val="0"/>
                <w:sz w:val="20"/>
                <w:szCs w:val="20"/>
                <w14:ligatures w14:val="none"/>
              </w:rPr>
              <w:t>vehicle-borne</w:t>
            </w:r>
            <w:r w:rsidRPr="00ED70BD">
              <w:rPr>
                <w:rFonts w:ascii="Times New Roman" w:eastAsia="Times New Roman" w:hAnsi="Times New Roman" w:cs="Times New Roman"/>
                <w:color w:val="000000"/>
                <w:kern w:val="0"/>
                <w:sz w:val="20"/>
                <w:szCs w:val="20"/>
                <w14:ligatures w14:val="none"/>
              </w:rPr>
              <w:t xml:space="preserve"> traffic to protect a physical asset or facility such as barriers, bollards, planters, benches etc. (Earthen barriers, berms, trees, or other botanical obstacles are NOT allowed.)</w:t>
            </w:r>
          </w:p>
        </w:tc>
        <w:tc>
          <w:tcPr>
            <w:tcW w:w="1636" w:type="pct"/>
            <w:tcBorders>
              <w:top w:val="nil"/>
              <w:left w:val="nil"/>
              <w:bottom w:val="single" w:sz="4" w:space="0" w:color="auto"/>
              <w:right w:val="single" w:sz="4" w:space="0" w:color="auto"/>
            </w:tcBorders>
            <w:hideMark/>
          </w:tcPr>
          <w:p w14:paraId="6B379D87" w14:textId="28C22721"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Grantees should leverage private assets where appropriate when implementing security enhancements at privately-owned critical infrastructure facilities. Additional guidance for NSGP: License plate reader and facial recognition systems are not allowed, but systems to detect weapons through video analysis are allowed. NOTE: This </w:t>
            </w:r>
            <w:r w:rsidRPr="00ED70BD">
              <w:rPr>
                <w:rFonts w:ascii="Times New Roman" w:eastAsia="Times New Roman" w:hAnsi="Times New Roman" w:cs="Times New Roman"/>
                <w:color w:val="000000"/>
                <w:kern w:val="0"/>
                <w:sz w:val="20"/>
                <w:szCs w:val="20"/>
                <w14:ligatures w14:val="none"/>
              </w:rPr>
              <w:t>AEL</w:t>
            </w:r>
            <w:r w:rsidRPr="00ED70BD">
              <w:rPr>
                <w:rFonts w:ascii="Times New Roman" w:eastAsia="Times New Roman" w:hAnsi="Times New Roman" w:cs="Times New Roman"/>
                <w:color w:val="000000"/>
                <w:kern w:val="0"/>
                <w:sz w:val="20"/>
                <w:szCs w:val="20"/>
                <w14:ligatures w14:val="none"/>
              </w:rPr>
              <w:t xml:space="preserve"> is not for gates or locking mechanisms, please see correct AEL. </w:t>
            </w:r>
          </w:p>
        </w:tc>
        <w:tc>
          <w:tcPr>
            <w:tcW w:w="499" w:type="pct"/>
            <w:tcBorders>
              <w:top w:val="nil"/>
              <w:left w:val="nil"/>
              <w:bottom w:val="single" w:sz="4" w:space="0" w:color="auto"/>
              <w:right w:val="single" w:sz="4" w:space="0" w:color="auto"/>
            </w:tcBorders>
            <w:hideMark/>
          </w:tcPr>
          <w:p w14:paraId="4FA3247A" w14:textId="77777777" w:rsidR="00ED70BD" w:rsidRPr="00ED70BD" w:rsidRDefault="00ED70BD" w:rsidP="00ED70BD">
            <w:pPr>
              <w:spacing w:after="0" w:line="240" w:lineRule="auto"/>
              <w:rPr>
                <w:rFonts w:ascii="Times New Roman" w:eastAsia="Times New Roman" w:hAnsi="Times New Roman" w:cs="Times New Roman"/>
                <w:color w:val="000000"/>
                <w:kern w:val="0"/>
                <w14:ligatures w14:val="none"/>
              </w:rPr>
            </w:pPr>
            <w:r w:rsidRPr="00ED70BD">
              <w:rPr>
                <w:rFonts w:ascii="Times New Roman" w:eastAsia="Times New Roman" w:hAnsi="Times New Roman" w:cs="Times New Roman"/>
                <w:color w:val="000000"/>
                <w:kern w:val="0"/>
                <w14:ligatures w14:val="none"/>
              </w:rPr>
              <w:t>20-35 Years</w:t>
            </w:r>
          </w:p>
        </w:tc>
      </w:tr>
      <w:tr w:rsidR="00ED70BD" w:rsidRPr="00ED70BD" w14:paraId="24057048"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000000"/>
            <w:hideMark/>
          </w:tcPr>
          <w:p w14:paraId="67CC239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1D7D5CC0"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6D5BFAE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7CB46E5D"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30FAE3E4"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4C3605C1"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7FB13472"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Inspection and Screening Systems</w:t>
            </w:r>
          </w:p>
        </w:tc>
      </w:tr>
      <w:tr w:rsidR="00ED70BD" w:rsidRPr="00ED70BD" w14:paraId="20F31217" w14:textId="77777777" w:rsidTr="00ED70BD">
        <w:trPr>
          <w:trHeight w:val="53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4F879F32"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17A844AC"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2809B66D"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74E1C61C" w14:textId="77777777" w:rsidTr="00ED70BD">
        <w:trPr>
          <w:trHeight w:val="70"/>
        </w:trPr>
        <w:tc>
          <w:tcPr>
            <w:tcW w:w="530" w:type="pct"/>
            <w:tcBorders>
              <w:top w:val="nil"/>
              <w:left w:val="single" w:sz="4" w:space="0" w:color="auto"/>
              <w:bottom w:val="single" w:sz="4" w:space="0" w:color="auto"/>
              <w:right w:val="single" w:sz="4" w:space="0" w:color="auto"/>
            </w:tcBorders>
            <w:shd w:val="clear" w:color="000000" w:fill="FFFFFF"/>
            <w:hideMark/>
          </w:tcPr>
          <w:p w14:paraId="2D5F427E"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AEL Code</w:t>
            </w:r>
          </w:p>
        </w:tc>
        <w:tc>
          <w:tcPr>
            <w:tcW w:w="655" w:type="pct"/>
            <w:tcBorders>
              <w:top w:val="nil"/>
              <w:left w:val="nil"/>
              <w:bottom w:val="single" w:sz="4" w:space="0" w:color="auto"/>
              <w:right w:val="single" w:sz="4" w:space="0" w:color="auto"/>
            </w:tcBorders>
            <w:shd w:val="clear" w:color="000000" w:fill="FFFFFF"/>
            <w:hideMark/>
          </w:tcPr>
          <w:p w14:paraId="3A86A49B"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Title</w:t>
            </w:r>
          </w:p>
        </w:tc>
        <w:tc>
          <w:tcPr>
            <w:tcW w:w="1680" w:type="pct"/>
            <w:tcBorders>
              <w:top w:val="nil"/>
              <w:left w:val="nil"/>
              <w:bottom w:val="single" w:sz="4" w:space="0" w:color="auto"/>
              <w:right w:val="single" w:sz="4" w:space="0" w:color="auto"/>
            </w:tcBorders>
            <w:hideMark/>
          </w:tcPr>
          <w:p w14:paraId="5A659710"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Description</w:t>
            </w:r>
          </w:p>
        </w:tc>
        <w:tc>
          <w:tcPr>
            <w:tcW w:w="1636" w:type="pct"/>
            <w:tcBorders>
              <w:top w:val="nil"/>
              <w:left w:val="nil"/>
              <w:bottom w:val="single" w:sz="4" w:space="0" w:color="auto"/>
              <w:right w:val="single" w:sz="4" w:space="0" w:color="auto"/>
            </w:tcBorders>
            <w:hideMark/>
          </w:tcPr>
          <w:p w14:paraId="066128F7"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Additional Description &amp; Examples</w:t>
            </w:r>
          </w:p>
        </w:tc>
        <w:tc>
          <w:tcPr>
            <w:tcW w:w="499" w:type="pct"/>
            <w:tcBorders>
              <w:top w:val="nil"/>
              <w:left w:val="nil"/>
              <w:bottom w:val="single" w:sz="4" w:space="0" w:color="auto"/>
              <w:right w:val="single" w:sz="4" w:space="0" w:color="auto"/>
            </w:tcBorders>
            <w:hideMark/>
          </w:tcPr>
          <w:p w14:paraId="586D51A3" w14:textId="77777777" w:rsidR="00ED70BD" w:rsidRPr="00ED70BD" w:rsidRDefault="00ED70BD" w:rsidP="00ED70BD">
            <w:pPr>
              <w:spacing w:after="0" w:line="240" w:lineRule="auto"/>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Useful Life</w:t>
            </w:r>
          </w:p>
        </w:tc>
      </w:tr>
      <w:tr w:rsidR="00ED70BD" w:rsidRPr="00ED70BD" w14:paraId="1098BA36" w14:textId="77777777" w:rsidTr="00ED70BD">
        <w:trPr>
          <w:trHeight w:val="737"/>
        </w:trPr>
        <w:tc>
          <w:tcPr>
            <w:tcW w:w="530" w:type="pct"/>
            <w:tcBorders>
              <w:top w:val="nil"/>
              <w:left w:val="single" w:sz="4" w:space="0" w:color="auto"/>
              <w:bottom w:val="single" w:sz="4" w:space="0" w:color="auto"/>
              <w:right w:val="single" w:sz="4" w:space="0" w:color="auto"/>
            </w:tcBorders>
            <w:hideMark/>
          </w:tcPr>
          <w:p w14:paraId="147A0F9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15SC-00-PPSS</w:t>
            </w:r>
          </w:p>
        </w:tc>
        <w:tc>
          <w:tcPr>
            <w:tcW w:w="655" w:type="pct"/>
            <w:tcBorders>
              <w:top w:val="nil"/>
              <w:left w:val="nil"/>
              <w:bottom w:val="single" w:sz="4" w:space="0" w:color="auto"/>
              <w:right w:val="single" w:sz="4" w:space="0" w:color="auto"/>
            </w:tcBorders>
            <w:hideMark/>
          </w:tcPr>
          <w:p w14:paraId="29B4F198"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Systems, Personnel/ Package Screening</w:t>
            </w:r>
          </w:p>
        </w:tc>
        <w:tc>
          <w:tcPr>
            <w:tcW w:w="1680" w:type="pct"/>
            <w:tcBorders>
              <w:top w:val="nil"/>
              <w:left w:val="nil"/>
              <w:bottom w:val="single" w:sz="4" w:space="0" w:color="auto"/>
              <w:right w:val="single" w:sz="4" w:space="0" w:color="auto"/>
            </w:tcBorders>
            <w:hideMark/>
          </w:tcPr>
          <w:p w14:paraId="1DA5109D"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Hand-held or fixed systems such as walk-through magnetometers used to screen personnel and packages for hazardous materials/devices.</w:t>
            </w:r>
          </w:p>
        </w:tc>
        <w:tc>
          <w:tcPr>
            <w:tcW w:w="1636" w:type="pct"/>
            <w:tcBorders>
              <w:top w:val="nil"/>
              <w:left w:val="nil"/>
              <w:bottom w:val="single" w:sz="4" w:space="0" w:color="auto"/>
              <w:right w:val="single" w:sz="4" w:space="0" w:color="auto"/>
            </w:tcBorders>
            <w:hideMark/>
          </w:tcPr>
          <w:p w14:paraId="607B19F2"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Grantees should leverage private assets where appropriate when implementing security enhancements at privately-owned critical infrastructure facilities.</w:t>
            </w:r>
          </w:p>
        </w:tc>
        <w:tc>
          <w:tcPr>
            <w:tcW w:w="499" w:type="pct"/>
            <w:tcBorders>
              <w:top w:val="nil"/>
              <w:left w:val="nil"/>
              <w:bottom w:val="single" w:sz="4" w:space="0" w:color="auto"/>
              <w:right w:val="single" w:sz="4" w:space="0" w:color="auto"/>
            </w:tcBorders>
            <w:hideMark/>
          </w:tcPr>
          <w:p w14:paraId="6D9F3A9E" w14:textId="77777777" w:rsidR="00ED70BD" w:rsidRPr="00ED70BD" w:rsidRDefault="00ED70BD" w:rsidP="00ED70BD">
            <w:pPr>
              <w:spacing w:after="0" w:line="240" w:lineRule="auto"/>
              <w:jc w:val="both"/>
              <w:rPr>
                <w:rFonts w:ascii="Times New Roman" w:eastAsia="Times New Roman" w:hAnsi="Times New Roman" w:cs="Times New Roman"/>
                <w:b/>
                <w:bCs/>
                <w:color w:val="000000"/>
                <w:kern w:val="0"/>
                <w:sz w:val="20"/>
                <w:szCs w:val="20"/>
                <w14:ligatures w14:val="none"/>
              </w:rPr>
            </w:pPr>
            <w:r w:rsidRPr="00ED70BD">
              <w:rPr>
                <w:rFonts w:ascii="Times New Roman" w:eastAsia="Times New Roman" w:hAnsi="Times New Roman" w:cs="Times New Roman"/>
                <w:b/>
                <w:bCs/>
                <w:color w:val="000000"/>
                <w:kern w:val="0"/>
                <w:sz w:val="20"/>
                <w:szCs w:val="20"/>
                <w14:ligatures w14:val="none"/>
              </w:rPr>
              <w:t> </w:t>
            </w:r>
          </w:p>
        </w:tc>
      </w:tr>
      <w:tr w:rsidR="00ED70BD" w:rsidRPr="00ED70BD" w14:paraId="53FD1625" w14:textId="77777777" w:rsidTr="00ED70BD">
        <w:trPr>
          <w:trHeight w:val="692"/>
        </w:trPr>
        <w:tc>
          <w:tcPr>
            <w:tcW w:w="530" w:type="pct"/>
            <w:tcBorders>
              <w:top w:val="nil"/>
              <w:left w:val="single" w:sz="4" w:space="0" w:color="auto"/>
              <w:bottom w:val="single" w:sz="4" w:space="0" w:color="auto"/>
              <w:right w:val="single" w:sz="4" w:space="0" w:color="auto"/>
            </w:tcBorders>
            <w:shd w:val="clear" w:color="000000" w:fill="000000"/>
            <w:hideMark/>
          </w:tcPr>
          <w:p w14:paraId="4E2C520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655" w:type="pct"/>
            <w:tcBorders>
              <w:top w:val="nil"/>
              <w:left w:val="nil"/>
              <w:bottom w:val="single" w:sz="4" w:space="0" w:color="auto"/>
              <w:right w:val="single" w:sz="4" w:space="0" w:color="auto"/>
            </w:tcBorders>
            <w:shd w:val="clear" w:color="000000" w:fill="000000"/>
            <w:hideMark/>
          </w:tcPr>
          <w:p w14:paraId="1552C68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80" w:type="pct"/>
            <w:tcBorders>
              <w:top w:val="nil"/>
              <w:left w:val="nil"/>
              <w:bottom w:val="single" w:sz="4" w:space="0" w:color="auto"/>
              <w:right w:val="single" w:sz="4" w:space="0" w:color="auto"/>
            </w:tcBorders>
            <w:shd w:val="clear" w:color="000000" w:fill="000000"/>
            <w:hideMark/>
          </w:tcPr>
          <w:p w14:paraId="239724E7"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1636" w:type="pct"/>
            <w:tcBorders>
              <w:top w:val="nil"/>
              <w:left w:val="nil"/>
              <w:bottom w:val="single" w:sz="4" w:space="0" w:color="auto"/>
              <w:right w:val="single" w:sz="4" w:space="0" w:color="auto"/>
            </w:tcBorders>
            <w:shd w:val="clear" w:color="000000" w:fill="000000"/>
            <w:hideMark/>
          </w:tcPr>
          <w:p w14:paraId="786F6F0E"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shd w:val="clear" w:color="000000" w:fill="000000"/>
            <w:hideMark/>
          </w:tcPr>
          <w:p w14:paraId="660474A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6184A9A5" w14:textId="77777777" w:rsidTr="00ED70BD">
        <w:trPr>
          <w:trHeight w:val="98"/>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2F47689A"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lastRenderedPageBreak/>
              <w:t>Other Authorized Equipment</w:t>
            </w:r>
          </w:p>
        </w:tc>
      </w:tr>
      <w:tr w:rsidR="00ED70BD" w:rsidRPr="00ED70BD" w14:paraId="26A4AA68" w14:textId="77777777" w:rsidTr="00ED70BD">
        <w:trPr>
          <w:trHeight w:val="530"/>
        </w:trPr>
        <w:tc>
          <w:tcPr>
            <w:tcW w:w="5000" w:type="pct"/>
            <w:gridSpan w:val="5"/>
            <w:tcBorders>
              <w:top w:val="single" w:sz="4" w:space="0" w:color="auto"/>
              <w:left w:val="single" w:sz="4" w:space="0" w:color="auto"/>
              <w:bottom w:val="single" w:sz="4" w:space="0" w:color="auto"/>
              <w:right w:val="single" w:sz="4" w:space="0" w:color="auto"/>
            </w:tcBorders>
            <w:shd w:val="clear" w:color="000000" w:fill="A6C9EC"/>
            <w:hideMark/>
          </w:tcPr>
          <w:p w14:paraId="396D06A5" w14:textId="77777777" w:rsidR="00ED70BD" w:rsidRPr="00ED70BD" w:rsidRDefault="00ED70BD" w:rsidP="00ED70BD">
            <w:pPr>
              <w:spacing w:after="0" w:line="240" w:lineRule="auto"/>
              <w:jc w:val="center"/>
              <w:rPr>
                <w:rFonts w:ascii="Times New Roman" w:eastAsia="Times New Roman" w:hAnsi="Times New Roman" w:cs="Times New Roman"/>
                <w:b/>
                <w:bCs/>
                <w:color w:val="000000"/>
                <w:kern w:val="0"/>
                <w14:ligatures w14:val="none"/>
              </w:rPr>
            </w:pPr>
            <w:r w:rsidRPr="00ED70BD">
              <w:rPr>
                <w:rFonts w:ascii="Times New Roman" w:eastAsia="Times New Roman" w:hAnsi="Times New Roman" w:cs="Times New Roman"/>
                <w:b/>
                <w:bCs/>
                <w:color w:val="000000"/>
                <w:kern w:val="0"/>
                <w14:ligatures w14:val="none"/>
              </w:rPr>
              <w:t xml:space="preserve">Not Applicable for all FEMA Programs. All Items must be approved by the MOHS and listed within the Authorized Equipment List. https://www.fema.gov/grants/tools/authorized-equipment-list#browse. </w:t>
            </w:r>
          </w:p>
        </w:tc>
      </w:tr>
      <w:tr w:rsidR="00ED70BD" w:rsidRPr="00ED70BD" w14:paraId="66A84D04" w14:textId="77777777" w:rsidTr="00ED70B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000000" w:fill="000000"/>
            <w:hideMark/>
          </w:tcPr>
          <w:p w14:paraId="162A0FAE" w14:textId="77777777" w:rsidR="00ED70BD" w:rsidRPr="00ED70BD" w:rsidRDefault="00ED70BD" w:rsidP="00ED70BD">
            <w:pPr>
              <w:spacing w:after="0" w:line="240" w:lineRule="auto"/>
              <w:jc w:val="center"/>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r>
      <w:tr w:rsidR="00ED70BD" w:rsidRPr="00ED70BD" w14:paraId="24795249" w14:textId="77777777" w:rsidTr="00ED70BD">
        <w:trPr>
          <w:trHeight w:val="510"/>
        </w:trPr>
        <w:tc>
          <w:tcPr>
            <w:tcW w:w="530" w:type="pct"/>
            <w:tcBorders>
              <w:top w:val="nil"/>
              <w:left w:val="single" w:sz="4" w:space="0" w:color="auto"/>
              <w:bottom w:val="single" w:sz="4" w:space="0" w:color="auto"/>
              <w:right w:val="single" w:sz="4" w:space="0" w:color="auto"/>
            </w:tcBorders>
            <w:hideMark/>
          </w:tcPr>
          <w:p w14:paraId="619F853E"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21GN-00-INST</w:t>
            </w:r>
          </w:p>
        </w:tc>
        <w:tc>
          <w:tcPr>
            <w:tcW w:w="655" w:type="pct"/>
            <w:tcBorders>
              <w:top w:val="nil"/>
              <w:left w:val="nil"/>
              <w:bottom w:val="single" w:sz="4" w:space="0" w:color="auto"/>
              <w:right w:val="single" w:sz="4" w:space="0" w:color="auto"/>
            </w:tcBorders>
            <w:hideMark/>
          </w:tcPr>
          <w:p w14:paraId="3FC77FDA"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Installation</w:t>
            </w:r>
          </w:p>
        </w:tc>
        <w:tc>
          <w:tcPr>
            <w:tcW w:w="1680" w:type="pct"/>
            <w:tcBorders>
              <w:top w:val="nil"/>
              <w:left w:val="nil"/>
              <w:bottom w:val="single" w:sz="4" w:space="0" w:color="auto"/>
              <w:right w:val="single" w:sz="4" w:space="0" w:color="auto"/>
            </w:tcBorders>
            <w:hideMark/>
          </w:tcPr>
          <w:p w14:paraId="6380B059"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Installation costs for authorized equipment purchased through FEMA grants.</w:t>
            </w:r>
          </w:p>
        </w:tc>
        <w:tc>
          <w:tcPr>
            <w:tcW w:w="1636" w:type="pct"/>
            <w:tcBorders>
              <w:top w:val="nil"/>
              <w:left w:val="nil"/>
              <w:bottom w:val="single" w:sz="4" w:space="0" w:color="auto"/>
              <w:right w:val="single" w:sz="4" w:space="0" w:color="auto"/>
            </w:tcBorders>
            <w:hideMark/>
          </w:tcPr>
          <w:p w14:paraId="5AFA4496"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w:t>
            </w:r>
          </w:p>
        </w:tc>
        <w:tc>
          <w:tcPr>
            <w:tcW w:w="499" w:type="pct"/>
            <w:tcBorders>
              <w:top w:val="nil"/>
              <w:left w:val="nil"/>
              <w:bottom w:val="single" w:sz="4" w:space="0" w:color="auto"/>
              <w:right w:val="single" w:sz="4" w:space="0" w:color="auto"/>
            </w:tcBorders>
            <w:hideMark/>
          </w:tcPr>
          <w:p w14:paraId="4E260ACE"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N/A</w:t>
            </w:r>
          </w:p>
        </w:tc>
      </w:tr>
      <w:tr w:rsidR="00ED70BD" w:rsidRPr="00ED70BD" w14:paraId="742661D7" w14:textId="77777777" w:rsidTr="00ED70BD">
        <w:trPr>
          <w:trHeight w:val="1565"/>
        </w:trPr>
        <w:tc>
          <w:tcPr>
            <w:tcW w:w="530" w:type="pct"/>
            <w:tcBorders>
              <w:top w:val="nil"/>
              <w:left w:val="single" w:sz="4" w:space="0" w:color="auto"/>
              <w:bottom w:val="single" w:sz="4" w:space="0" w:color="auto"/>
              <w:right w:val="single" w:sz="4" w:space="0" w:color="auto"/>
            </w:tcBorders>
            <w:hideMark/>
          </w:tcPr>
          <w:p w14:paraId="5D567F01"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21GN-00-TRNG</w:t>
            </w:r>
          </w:p>
        </w:tc>
        <w:tc>
          <w:tcPr>
            <w:tcW w:w="655" w:type="pct"/>
            <w:tcBorders>
              <w:top w:val="nil"/>
              <w:left w:val="nil"/>
              <w:bottom w:val="single" w:sz="4" w:space="0" w:color="auto"/>
              <w:right w:val="single" w:sz="4" w:space="0" w:color="auto"/>
            </w:tcBorders>
            <w:hideMark/>
          </w:tcPr>
          <w:p w14:paraId="5A5323F3" w14:textId="77777777"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Training and Awareness</w:t>
            </w:r>
          </w:p>
        </w:tc>
        <w:tc>
          <w:tcPr>
            <w:tcW w:w="1680" w:type="pct"/>
            <w:tcBorders>
              <w:top w:val="nil"/>
              <w:left w:val="nil"/>
              <w:bottom w:val="single" w:sz="4" w:space="0" w:color="auto"/>
              <w:right w:val="single" w:sz="4" w:space="0" w:color="auto"/>
            </w:tcBorders>
            <w:hideMark/>
          </w:tcPr>
          <w:p w14:paraId="42971245" w14:textId="6104006E" w:rsidR="00ED70BD" w:rsidRPr="00ED70BD" w:rsidRDefault="00ED70BD" w:rsidP="00ED70BD">
            <w:pPr>
              <w:spacing w:after="0" w:line="240" w:lineRule="auto"/>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Training on CBRNE and cyber security equipment by vendors or local entities.</w:t>
            </w:r>
            <w:r>
              <w:rPr>
                <w:rFonts w:ascii="Times New Roman" w:eastAsia="Times New Roman" w:hAnsi="Times New Roman" w:cs="Times New Roman"/>
                <w:color w:val="000000"/>
                <w:kern w:val="0"/>
                <w:sz w:val="20"/>
                <w:szCs w:val="20"/>
                <w14:ligatures w14:val="none"/>
              </w:rPr>
              <w:t xml:space="preserve"> </w:t>
            </w:r>
            <w:r w:rsidRPr="00ED70BD">
              <w:rPr>
                <w:rFonts w:ascii="Times New Roman" w:eastAsia="Times New Roman" w:hAnsi="Times New Roman" w:cs="Times New Roman"/>
                <w:color w:val="000000"/>
                <w:kern w:val="0"/>
                <w:sz w:val="20"/>
                <w:szCs w:val="20"/>
                <w14:ligatures w14:val="none"/>
              </w:rPr>
              <w:t>DHS encourages the use of Domestic Preparedness Equipment Technical Assistance Program (DPETAP) for equipment training; however, manufacturer/vendor equipment training, the cost of overtime to attend the training, and costs related to having vendors provide training on equipment to State and/or local units of government are allowed to facilitate the training on and fielding of equipment.</w:t>
            </w:r>
          </w:p>
        </w:tc>
        <w:tc>
          <w:tcPr>
            <w:tcW w:w="1636" w:type="pct"/>
            <w:tcBorders>
              <w:top w:val="nil"/>
              <w:left w:val="nil"/>
              <w:bottom w:val="single" w:sz="4" w:space="0" w:color="auto"/>
              <w:right w:val="single" w:sz="4" w:space="0" w:color="auto"/>
            </w:tcBorders>
            <w:hideMark/>
          </w:tcPr>
          <w:p w14:paraId="38A4B79C" w14:textId="3FEE4E79"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 xml:space="preserve">Note that training expenses allowable under this item must be </w:t>
            </w:r>
            <w:r w:rsidRPr="00ED70BD">
              <w:rPr>
                <w:rFonts w:ascii="Times New Roman" w:eastAsia="Times New Roman" w:hAnsi="Times New Roman" w:cs="Times New Roman"/>
                <w:color w:val="000000"/>
                <w:kern w:val="0"/>
                <w:sz w:val="20"/>
                <w:szCs w:val="20"/>
                <w14:ligatures w14:val="none"/>
              </w:rPr>
              <w:t>equipment specific</w:t>
            </w:r>
            <w:r w:rsidRPr="00ED70BD">
              <w:rPr>
                <w:rFonts w:ascii="Times New Roman" w:eastAsia="Times New Roman" w:hAnsi="Times New Roman" w:cs="Times New Roman"/>
                <w:color w:val="000000"/>
                <w:kern w:val="0"/>
                <w:sz w:val="20"/>
                <w:szCs w:val="20"/>
                <w14:ligatures w14:val="none"/>
              </w:rPr>
              <w:t xml:space="preserve">. Expenses for generic training or operations training (even if equipment is used during the training) are not allowable. For non-equipment-specific training, please see applicable training guidelines in the appropriate fiscal year's grant program guidance.  Additional guidance for NSGP: AEDs, life </w:t>
            </w:r>
            <w:r w:rsidRPr="00ED70BD">
              <w:rPr>
                <w:rFonts w:ascii="Times New Roman" w:eastAsia="Times New Roman" w:hAnsi="Times New Roman" w:cs="Times New Roman"/>
                <w:color w:val="000000"/>
                <w:kern w:val="0"/>
                <w:sz w:val="20"/>
                <w:szCs w:val="20"/>
                <w14:ligatures w14:val="none"/>
              </w:rPr>
              <w:t>packs,</w:t>
            </w:r>
            <w:r w:rsidRPr="00ED70BD">
              <w:rPr>
                <w:rFonts w:ascii="Times New Roman" w:eastAsia="Times New Roman" w:hAnsi="Times New Roman" w:cs="Times New Roman"/>
                <w:color w:val="000000"/>
                <w:kern w:val="0"/>
                <w:sz w:val="20"/>
                <w:szCs w:val="20"/>
                <w14:ligatures w14:val="none"/>
              </w:rPr>
              <w:t xml:space="preserve"> other defibrillators, and fire extinguishers are allowed in reasonable quantity.</w:t>
            </w:r>
          </w:p>
        </w:tc>
        <w:tc>
          <w:tcPr>
            <w:tcW w:w="499" w:type="pct"/>
            <w:tcBorders>
              <w:top w:val="nil"/>
              <w:left w:val="nil"/>
              <w:bottom w:val="single" w:sz="4" w:space="0" w:color="auto"/>
              <w:right w:val="single" w:sz="4" w:space="0" w:color="auto"/>
            </w:tcBorders>
            <w:hideMark/>
          </w:tcPr>
          <w:p w14:paraId="2224ADA5" w14:textId="77777777" w:rsidR="00ED70BD" w:rsidRPr="00ED70BD" w:rsidRDefault="00ED70BD" w:rsidP="00ED70BD">
            <w:pPr>
              <w:spacing w:after="0" w:line="240" w:lineRule="auto"/>
              <w:jc w:val="both"/>
              <w:rPr>
                <w:rFonts w:ascii="Times New Roman" w:eastAsia="Times New Roman" w:hAnsi="Times New Roman" w:cs="Times New Roman"/>
                <w:color w:val="000000"/>
                <w:kern w:val="0"/>
                <w:sz w:val="20"/>
                <w:szCs w:val="20"/>
                <w14:ligatures w14:val="none"/>
              </w:rPr>
            </w:pPr>
            <w:r w:rsidRPr="00ED70BD">
              <w:rPr>
                <w:rFonts w:ascii="Times New Roman" w:eastAsia="Times New Roman" w:hAnsi="Times New Roman" w:cs="Times New Roman"/>
                <w:color w:val="000000"/>
                <w:kern w:val="0"/>
                <w:sz w:val="20"/>
                <w:szCs w:val="20"/>
                <w14:ligatures w14:val="none"/>
              </w:rPr>
              <w:t>N/A</w:t>
            </w:r>
          </w:p>
        </w:tc>
      </w:tr>
    </w:tbl>
    <w:p w14:paraId="5D3FB172" w14:textId="77777777" w:rsidR="00743B19" w:rsidRDefault="00743B19"/>
    <w:sectPr w:rsidR="00743B19" w:rsidSect="00ED70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70BD"/>
    <w:rsid w:val="002862F2"/>
    <w:rsid w:val="005E2F7F"/>
    <w:rsid w:val="00743B19"/>
    <w:rsid w:val="00ED70BD"/>
    <w:rsid w:val="00F6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4B61"/>
  <w15:chartTrackingRefBased/>
  <w15:docId w15:val="{BE3B2594-9FEA-4FC6-B7F6-68244E78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BD"/>
    <w:rPr>
      <w:rFonts w:eastAsiaTheme="majorEastAsia" w:cstheme="majorBidi"/>
      <w:color w:val="272727" w:themeColor="text1" w:themeTint="D8"/>
    </w:rPr>
  </w:style>
  <w:style w:type="paragraph" w:styleId="Title">
    <w:name w:val="Title"/>
    <w:basedOn w:val="Normal"/>
    <w:next w:val="Normal"/>
    <w:link w:val="TitleChar"/>
    <w:uiPriority w:val="10"/>
    <w:qFormat/>
    <w:rsid w:val="00ED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BD"/>
    <w:pPr>
      <w:spacing w:before="160"/>
      <w:jc w:val="center"/>
    </w:pPr>
    <w:rPr>
      <w:i/>
      <w:iCs/>
      <w:color w:val="404040" w:themeColor="text1" w:themeTint="BF"/>
    </w:rPr>
  </w:style>
  <w:style w:type="character" w:customStyle="1" w:styleId="QuoteChar">
    <w:name w:val="Quote Char"/>
    <w:basedOn w:val="DefaultParagraphFont"/>
    <w:link w:val="Quote"/>
    <w:uiPriority w:val="29"/>
    <w:rsid w:val="00ED70BD"/>
    <w:rPr>
      <w:i/>
      <w:iCs/>
      <w:color w:val="404040" w:themeColor="text1" w:themeTint="BF"/>
    </w:rPr>
  </w:style>
  <w:style w:type="paragraph" w:styleId="ListParagraph">
    <w:name w:val="List Paragraph"/>
    <w:basedOn w:val="Normal"/>
    <w:uiPriority w:val="34"/>
    <w:qFormat/>
    <w:rsid w:val="00ED70BD"/>
    <w:pPr>
      <w:ind w:left="720"/>
      <w:contextualSpacing/>
    </w:pPr>
  </w:style>
  <w:style w:type="character" w:styleId="IntenseEmphasis">
    <w:name w:val="Intense Emphasis"/>
    <w:basedOn w:val="DefaultParagraphFont"/>
    <w:uiPriority w:val="21"/>
    <w:qFormat/>
    <w:rsid w:val="00ED70BD"/>
    <w:rPr>
      <w:i/>
      <w:iCs/>
      <w:color w:val="2F5496" w:themeColor="accent1" w:themeShade="BF"/>
    </w:rPr>
  </w:style>
  <w:style w:type="paragraph" w:styleId="IntenseQuote">
    <w:name w:val="Intense Quote"/>
    <w:basedOn w:val="Normal"/>
    <w:next w:val="Normal"/>
    <w:link w:val="IntenseQuoteChar"/>
    <w:uiPriority w:val="30"/>
    <w:qFormat/>
    <w:rsid w:val="00ED7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0BD"/>
    <w:rPr>
      <w:i/>
      <w:iCs/>
      <w:color w:val="2F5496" w:themeColor="accent1" w:themeShade="BF"/>
    </w:rPr>
  </w:style>
  <w:style w:type="character" w:styleId="IntenseReference">
    <w:name w:val="Intense Reference"/>
    <w:basedOn w:val="DefaultParagraphFont"/>
    <w:uiPriority w:val="32"/>
    <w:qFormat/>
    <w:rsid w:val="00ED7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2792</Words>
  <Characters>18204</Characters>
  <Application>Microsoft Office Word</Application>
  <DocSecurity>0</DocSecurity>
  <Lines>379</Lines>
  <Paragraphs>225</Paragraphs>
  <ScaleCrop>false</ScaleCrop>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Loflin</dc:creator>
  <cp:keywords/>
  <dc:description/>
  <cp:lastModifiedBy>Beth Loflin</cp:lastModifiedBy>
  <cp:revision>1</cp:revision>
  <dcterms:created xsi:type="dcterms:W3CDTF">2025-09-06T21:50:00Z</dcterms:created>
  <dcterms:modified xsi:type="dcterms:W3CDTF">2025-09-06T21:59:00Z</dcterms:modified>
</cp:coreProperties>
</file>